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5547E" w:rsidP="004A6D2F"/>
    <w:p w:rsidR="00ED4277" w:rsidRPr="009E51FC" w:rsidRDefault="00ED4277" w:rsidP="004A6D2F"/>
    <w:tbl>
      <w:tblPr>
        <w:tblW w:w="0" w:type="auto"/>
        <w:tblInd w:w="108" w:type="dxa"/>
        <w:tblLayout w:type="fixed"/>
        <w:tblLook w:val="04A0" w:firstRow="1" w:lastRow="0" w:firstColumn="1" w:lastColumn="0" w:noHBand="0" w:noVBand="1"/>
      </w:tblPr>
      <w:tblGrid>
        <w:gridCol w:w="426"/>
        <w:gridCol w:w="2012"/>
        <w:gridCol w:w="823"/>
        <w:gridCol w:w="5583"/>
        <w:gridCol w:w="512"/>
      </w:tblGrid>
      <w:tr w:rsidR="00CE544A" w:rsidRPr="00975B07" w:rsidTr="001D2AF4">
        <w:trPr>
          <w:gridAfter w:val="1"/>
          <w:wAfter w:w="512" w:type="dxa"/>
          <w:trHeight w:val="377"/>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rsidR="00F445B1" w:rsidRPr="00F95BC9" w:rsidRDefault="00867E18" w:rsidP="00471319">
            <w:pPr>
              <w:rPr>
                <w:rStyle w:val="Firstpagetablebold"/>
              </w:rPr>
            </w:pPr>
            <w:r w:rsidRPr="008A3C6C">
              <w:rPr>
                <w:rFonts w:cs="Arial"/>
                <w:b/>
                <w:bCs/>
              </w:rPr>
              <w:t>Licensing and Gambling Acts Committee</w:t>
            </w:r>
            <w:r w:rsidRPr="008A3C6C">
              <w:rPr>
                <w:rFonts w:cs="Arial"/>
                <w:b/>
                <w:bCs/>
              </w:rPr>
              <w:tab/>
            </w:r>
          </w:p>
        </w:tc>
      </w:tr>
      <w:tr w:rsidR="00CE544A" w:rsidRPr="00975B07" w:rsidTr="00867E18">
        <w:trPr>
          <w:gridAfter w:val="1"/>
          <w:wAfter w:w="512" w:type="dxa"/>
        </w:trPr>
        <w:tc>
          <w:tcPr>
            <w:tcW w:w="2438" w:type="dxa"/>
            <w:gridSpan w:val="2"/>
            <w:shd w:val="clear" w:color="auto" w:fill="auto"/>
          </w:tcPr>
          <w:p w:rsidR="00F6511E" w:rsidRDefault="00F6511E" w:rsidP="004A6D2F">
            <w:pPr>
              <w:rPr>
                <w:rStyle w:val="Firstpagetablebold"/>
              </w:rPr>
            </w:pPr>
          </w:p>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rsidR="00F445B1" w:rsidRPr="001356F1" w:rsidRDefault="007724B1" w:rsidP="00867E18">
            <w:pPr>
              <w:rPr>
                <w:b/>
              </w:rPr>
            </w:pPr>
            <w:r>
              <w:rPr>
                <w:rFonts w:cs="Arial"/>
                <w:b/>
                <w:bCs/>
              </w:rPr>
              <w:t>19 September 2018</w:t>
            </w:r>
            <w:r w:rsidR="00867E18">
              <w:rPr>
                <w:rFonts w:cs="Arial"/>
                <w:b/>
                <w:bCs/>
              </w:rPr>
              <w:t xml:space="preserve">  </w:t>
            </w:r>
          </w:p>
        </w:tc>
      </w:tr>
      <w:tr w:rsidR="00CE544A" w:rsidRPr="00975B07" w:rsidTr="00867E18">
        <w:trPr>
          <w:gridAfter w:val="1"/>
          <w:wAfter w:w="512" w:type="dxa"/>
        </w:trPr>
        <w:tc>
          <w:tcPr>
            <w:tcW w:w="2438" w:type="dxa"/>
            <w:gridSpan w:val="2"/>
            <w:shd w:val="clear" w:color="auto" w:fill="auto"/>
          </w:tcPr>
          <w:p w:rsidR="00F6511E" w:rsidRDefault="00F6511E" w:rsidP="004A6D2F">
            <w:pPr>
              <w:rPr>
                <w:rStyle w:val="Firstpagetablebold"/>
              </w:rPr>
            </w:pPr>
          </w:p>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rsidR="00F445B1" w:rsidRPr="001356F1" w:rsidRDefault="00867E18" w:rsidP="004A6D2F">
            <w:pPr>
              <w:rPr>
                <w:rStyle w:val="Firstpagetablebold"/>
              </w:rPr>
            </w:pPr>
            <w:r w:rsidRPr="000E4E60">
              <w:rPr>
                <w:rFonts w:cs="Arial"/>
                <w:b/>
                <w:bCs/>
              </w:rPr>
              <w:t>Head of Community Services</w:t>
            </w:r>
          </w:p>
        </w:tc>
      </w:tr>
      <w:tr w:rsidR="00CE544A" w:rsidRPr="00975B07" w:rsidTr="00867E18">
        <w:trPr>
          <w:gridAfter w:val="1"/>
          <w:wAfter w:w="512" w:type="dxa"/>
        </w:trPr>
        <w:tc>
          <w:tcPr>
            <w:tcW w:w="2438" w:type="dxa"/>
            <w:gridSpan w:val="2"/>
            <w:shd w:val="clear" w:color="auto" w:fill="auto"/>
          </w:tcPr>
          <w:p w:rsidR="00F6511E" w:rsidRDefault="00F6511E" w:rsidP="004A6D2F">
            <w:pPr>
              <w:rPr>
                <w:rStyle w:val="Firstpagetablebold"/>
              </w:rPr>
            </w:pPr>
          </w:p>
          <w:p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rsidR="00867E18" w:rsidRDefault="00867E18" w:rsidP="00867E18">
            <w:pPr>
              <w:tabs>
                <w:tab w:val="left" w:pos="2160"/>
              </w:tabs>
              <w:ind w:left="2160" w:hanging="2160"/>
              <w:rPr>
                <w:rFonts w:cs="Arial"/>
                <w:b/>
                <w:bCs/>
              </w:rPr>
            </w:pPr>
            <w:r w:rsidRPr="00F11EF0">
              <w:rPr>
                <w:rFonts w:cs="Arial"/>
                <w:b/>
                <w:bCs/>
              </w:rPr>
              <w:t>Update on Licensing Authority Activity</w:t>
            </w:r>
            <w:r>
              <w:rPr>
                <w:rFonts w:cs="Arial"/>
                <w:b/>
                <w:bCs/>
              </w:rPr>
              <w:t xml:space="preserve">: </w:t>
            </w:r>
          </w:p>
          <w:p w:rsidR="00F445B1" w:rsidRDefault="00867E18" w:rsidP="00867E18">
            <w:pPr>
              <w:tabs>
                <w:tab w:val="left" w:pos="6"/>
              </w:tabs>
              <w:ind w:left="2160" w:hanging="2160"/>
              <w:rPr>
                <w:rFonts w:cs="Arial"/>
                <w:b/>
              </w:rPr>
            </w:pPr>
            <w:r>
              <w:rPr>
                <w:rFonts w:cs="Arial"/>
                <w:b/>
                <w:bCs/>
              </w:rPr>
              <w:tab/>
            </w:r>
            <w:r w:rsidR="007724B1">
              <w:rPr>
                <w:rFonts w:cs="Arial"/>
                <w:b/>
              </w:rPr>
              <w:t>April 2018 – July 2018</w:t>
            </w:r>
          </w:p>
          <w:p w:rsidR="00867E18" w:rsidRPr="001356F1" w:rsidRDefault="00867E18" w:rsidP="00867E18">
            <w:pPr>
              <w:tabs>
                <w:tab w:val="left" w:pos="6"/>
              </w:tabs>
              <w:ind w:left="2160" w:hanging="2160"/>
              <w:rPr>
                <w:rStyle w:val="Firstpagetablebold"/>
              </w:rPr>
            </w:pPr>
          </w:p>
        </w:tc>
      </w:tr>
      <w:tr w:rsidR="00D5547E" w:rsidTr="00867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9356" w:type="dxa"/>
            <w:gridSpan w:val="5"/>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67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09"/>
        </w:trPr>
        <w:tc>
          <w:tcPr>
            <w:tcW w:w="3261" w:type="dxa"/>
            <w:gridSpan w:val="3"/>
            <w:tcBorders>
              <w:top w:val="single" w:sz="4" w:space="0" w:color="auto"/>
              <w:left w:val="single" w:sz="4" w:space="0" w:color="auto"/>
              <w:bottom w:val="nil"/>
              <w:right w:val="nil"/>
            </w:tcBorders>
            <w:hideMark/>
          </w:tcPr>
          <w:p w:rsidR="0008030A" w:rsidRDefault="0008030A">
            <w:pPr>
              <w:rPr>
                <w:rStyle w:val="Firstpagetablebold"/>
              </w:rPr>
            </w:pPr>
          </w:p>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gridSpan w:val="2"/>
            <w:tcBorders>
              <w:top w:val="single" w:sz="4" w:space="0" w:color="auto"/>
              <w:left w:val="nil"/>
              <w:bottom w:val="nil"/>
              <w:right w:val="single" w:sz="4" w:space="0" w:color="auto"/>
            </w:tcBorders>
            <w:hideMark/>
          </w:tcPr>
          <w:p w:rsidR="0008030A" w:rsidRDefault="0008030A" w:rsidP="00F216A7">
            <w:pPr>
              <w:rPr>
                <w:rFonts w:cs="Arial"/>
              </w:rPr>
            </w:pPr>
          </w:p>
          <w:p w:rsidR="00471319" w:rsidRPr="001356F1" w:rsidRDefault="00F216A7" w:rsidP="00F216A7">
            <w:r>
              <w:rPr>
                <w:rFonts w:cs="Arial"/>
              </w:rPr>
              <w:t>To inform Committee of the progress made by the Licensing Authority under the Licensing Act 2003 and Gambling Act 2005 d</w:t>
            </w:r>
            <w:r w:rsidR="007724B1">
              <w:rPr>
                <w:rFonts w:cs="Arial"/>
              </w:rPr>
              <w:t>uring the period from April 2018</w:t>
            </w:r>
            <w:r>
              <w:rPr>
                <w:rFonts w:cs="Arial"/>
              </w:rPr>
              <w:t xml:space="preserve"> to July 201</w:t>
            </w:r>
            <w:r w:rsidR="007724B1">
              <w:rPr>
                <w:rFonts w:cs="Arial"/>
              </w:rPr>
              <w:t>8</w:t>
            </w:r>
          </w:p>
        </w:tc>
      </w:tr>
      <w:tr w:rsidR="00471319" w:rsidTr="00867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1"/>
        </w:trPr>
        <w:tc>
          <w:tcPr>
            <w:tcW w:w="3261" w:type="dxa"/>
            <w:gridSpan w:val="3"/>
            <w:tcBorders>
              <w:top w:val="nil"/>
              <w:left w:val="single" w:sz="4" w:space="0" w:color="auto"/>
              <w:bottom w:val="nil"/>
              <w:right w:val="nil"/>
            </w:tcBorders>
          </w:tcPr>
          <w:p w:rsidR="00B8247D" w:rsidRDefault="00B8247D">
            <w:pPr>
              <w:rPr>
                <w:rStyle w:val="Firstpagetablebold"/>
              </w:rPr>
            </w:pPr>
          </w:p>
          <w:p w:rsidR="00471319" w:rsidRDefault="00471319">
            <w:pPr>
              <w:rPr>
                <w:rStyle w:val="Firstpagetablebold"/>
              </w:rPr>
            </w:pPr>
            <w:r>
              <w:rPr>
                <w:rStyle w:val="Firstpagetablebold"/>
              </w:rPr>
              <w:t>Corporate Priority</w:t>
            </w:r>
          </w:p>
        </w:tc>
        <w:tc>
          <w:tcPr>
            <w:tcW w:w="6095" w:type="dxa"/>
            <w:gridSpan w:val="2"/>
            <w:tcBorders>
              <w:top w:val="nil"/>
              <w:left w:val="nil"/>
              <w:bottom w:val="nil"/>
              <w:right w:val="single" w:sz="4" w:space="0" w:color="auto"/>
            </w:tcBorders>
          </w:tcPr>
          <w:p w:rsidR="00B8247D" w:rsidRDefault="00B8247D" w:rsidP="000F4751"/>
          <w:p w:rsidR="00D57F03" w:rsidRPr="001356F1" w:rsidRDefault="00AD64C2" w:rsidP="003642AB">
            <w:r>
              <w:t>Strong and Active Communities</w:t>
            </w:r>
          </w:p>
        </w:tc>
      </w:tr>
      <w:tr w:rsidR="00D57F03" w:rsidTr="00867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1"/>
        </w:trPr>
        <w:tc>
          <w:tcPr>
            <w:tcW w:w="3261" w:type="dxa"/>
            <w:gridSpan w:val="3"/>
            <w:tcBorders>
              <w:top w:val="nil"/>
              <w:left w:val="single" w:sz="4" w:space="0" w:color="auto"/>
              <w:bottom w:val="nil"/>
              <w:right w:val="nil"/>
            </w:tcBorders>
          </w:tcPr>
          <w:p w:rsidR="00B8247D" w:rsidRDefault="00B8247D">
            <w:pPr>
              <w:rPr>
                <w:rStyle w:val="Firstpagetablebold"/>
              </w:rPr>
            </w:pPr>
          </w:p>
          <w:p w:rsidR="00D57F03" w:rsidRDefault="00D57F03">
            <w:pPr>
              <w:rPr>
                <w:rStyle w:val="Firstpagetablebold"/>
              </w:rPr>
            </w:pPr>
            <w:r>
              <w:rPr>
                <w:rStyle w:val="Firstpagetablebold"/>
              </w:rPr>
              <w:t>Policy Framework</w:t>
            </w:r>
          </w:p>
        </w:tc>
        <w:tc>
          <w:tcPr>
            <w:tcW w:w="6095" w:type="dxa"/>
            <w:gridSpan w:val="2"/>
            <w:tcBorders>
              <w:top w:val="nil"/>
              <w:left w:val="nil"/>
              <w:bottom w:val="nil"/>
              <w:right w:val="single" w:sz="4" w:space="0" w:color="auto"/>
            </w:tcBorders>
          </w:tcPr>
          <w:p w:rsidR="00B8247D" w:rsidRDefault="00B8247D" w:rsidP="00D57F03">
            <w:pPr>
              <w:rPr>
                <w:rFonts w:cs="Arial"/>
                <w:b/>
                <w:bCs/>
              </w:rPr>
            </w:pPr>
          </w:p>
          <w:p w:rsidR="00D57F03" w:rsidRDefault="005E41E8" w:rsidP="00D57F03">
            <w:r w:rsidRPr="008A3C6C">
              <w:rPr>
                <w:rFonts w:cs="Arial"/>
                <w:b/>
                <w:bCs/>
              </w:rPr>
              <w:t>Statement of Licensing Policy</w:t>
            </w:r>
          </w:p>
        </w:tc>
      </w:tr>
      <w:tr w:rsidR="005F7F7E" w:rsidRPr="00975B07" w:rsidTr="00867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9356" w:type="dxa"/>
            <w:gridSpan w:val="5"/>
            <w:tcBorders>
              <w:bottom w:val="single" w:sz="8" w:space="0" w:color="000000"/>
            </w:tcBorders>
          </w:tcPr>
          <w:p w:rsidR="0008030A" w:rsidRDefault="0008030A" w:rsidP="005E41E8">
            <w:pPr>
              <w:rPr>
                <w:rStyle w:val="Firstpagetablebold"/>
              </w:rPr>
            </w:pPr>
          </w:p>
          <w:p w:rsidR="005F7F7E" w:rsidRPr="00975B07" w:rsidRDefault="003C141B" w:rsidP="003C141B">
            <w:r>
              <w:rPr>
                <w:rStyle w:val="Firstpagetablebold"/>
              </w:rPr>
              <w:t>Recommendation</w:t>
            </w:r>
            <w:r w:rsidR="005F7F7E">
              <w:rPr>
                <w:rStyle w:val="Firstpagetablebold"/>
              </w:rPr>
              <w:t>s:</w:t>
            </w:r>
            <w:r w:rsidR="00E62877">
              <w:rPr>
                <w:rStyle w:val="Firstpagetablebold"/>
              </w:rPr>
              <w:t xml:space="preserve"> </w:t>
            </w:r>
            <w:r w:rsidR="00E62877">
              <w:rPr>
                <w:rFonts w:cs="Arial"/>
              </w:rPr>
              <w:t>That t</w:t>
            </w:r>
            <w:r w:rsidR="00E62877" w:rsidRPr="008711FA">
              <w:rPr>
                <w:rFonts w:cs="Arial"/>
              </w:rPr>
              <w:t>he</w:t>
            </w:r>
            <w:r w:rsidR="00E62877">
              <w:rPr>
                <w:rFonts w:cs="Arial"/>
              </w:rPr>
              <w:t xml:space="preserve"> Licensing and Gambling Acts </w:t>
            </w:r>
            <w:r>
              <w:rPr>
                <w:rFonts w:cs="Arial"/>
              </w:rPr>
              <w:t xml:space="preserve">resolves </w:t>
            </w:r>
            <w:r w:rsidR="00E62877" w:rsidRPr="008711FA">
              <w:rPr>
                <w:rFonts w:cs="Arial"/>
              </w:rPr>
              <w:t>to</w:t>
            </w:r>
            <w:r w:rsidR="00E62877">
              <w:rPr>
                <w:rFonts w:cs="Arial"/>
              </w:rPr>
              <w:t>:</w:t>
            </w:r>
          </w:p>
        </w:tc>
      </w:tr>
      <w:tr w:rsidR="0030208D" w:rsidRPr="00975B07" w:rsidTr="00F6511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7"/>
        </w:trPr>
        <w:tc>
          <w:tcPr>
            <w:tcW w:w="426" w:type="dxa"/>
            <w:tcBorders>
              <w:top w:val="single" w:sz="8" w:space="0" w:color="000000"/>
              <w:left w:val="single" w:sz="8" w:space="0" w:color="000000"/>
              <w:bottom w:val="nil"/>
              <w:right w:val="nil"/>
            </w:tcBorders>
          </w:tcPr>
          <w:p w:rsidR="000342B2" w:rsidRDefault="000342B2" w:rsidP="004A6D2F"/>
          <w:p w:rsidR="0030208D" w:rsidRPr="00975B07" w:rsidRDefault="00046D2B" w:rsidP="004A6D2F">
            <w:r w:rsidRPr="00975B07">
              <w:t>1.</w:t>
            </w:r>
          </w:p>
        </w:tc>
        <w:tc>
          <w:tcPr>
            <w:tcW w:w="8930" w:type="dxa"/>
            <w:gridSpan w:val="4"/>
            <w:tcBorders>
              <w:top w:val="single" w:sz="8" w:space="0" w:color="000000"/>
              <w:left w:val="nil"/>
              <w:bottom w:val="nil"/>
              <w:right w:val="single" w:sz="8" w:space="0" w:color="000000"/>
            </w:tcBorders>
            <w:shd w:val="clear" w:color="auto" w:fill="auto"/>
          </w:tcPr>
          <w:p w:rsidR="000342B2" w:rsidRDefault="000342B2" w:rsidP="002069B3">
            <w:pPr>
              <w:rPr>
                <w:rFonts w:cs="Arial"/>
              </w:rPr>
            </w:pPr>
          </w:p>
          <w:p w:rsidR="0030208D" w:rsidRPr="001356F1" w:rsidRDefault="007724B1" w:rsidP="002069B3">
            <w:r>
              <w:rPr>
                <w:rFonts w:cs="Arial"/>
                <w:b/>
              </w:rPr>
              <w:t>N</w:t>
            </w:r>
            <w:r w:rsidR="000342B2" w:rsidRPr="007724B1">
              <w:rPr>
                <w:rFonts w:cs="Arial"/>
                <w:b/>
              </w:rPr>
              <w:t>ote</w:t>
            </w:r>
            <w:r w:rsidR="000342B2" w:rsidRPr="008711FA">
              <w:rPr>
                <w:rFonts w:cs="Arial"/>
              </w:rPr>
              <w:t xml:space="preserve"> the contents of the report; and</w:t>
            </w:r>
            <w:r w:rsidR="0030208D" w:rsidRPr="001356F1">
              <w:t xml:space="preserve"> </w:t>
            </w:r>
          </w:p>
        </w:tc>
      </w:tr>
      <w:tr w:rsidR="0030208D" w:rsidRPr="00975B07" w:rsidTr="000342B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4"/>
        </w:trPr>
        <w:tc>
          <w:tcPr>
            <w:tcW w:w="426" w:type="dxa"/>
            <w:tcBorders>
              <w:top w:val="nil"/>
              <w:left w:val="single" w:sz="8" w:space="0" w:color="000000"/>
              <w:bottom w:val="nil"/>
              <w:right w:val="nil"/>
            </w:tcBorders>
          </w:tcPr>
          <w:p w:rsidR="0030208D" w:rsidRPr="00975B07" w:rsidRDefault="00046D2B" w:rsidP="004A6D2F">
            <w:r w:rsidRPr="00975B07">
              <w:t>2.</w:t>
            </w:r>
          </w:p>
        </w:tc>
        <w:tc>
          <w:tcPr>
            <w:tcW w:w="8930" w:type="dxa"/>
            <w:gridSpan w:val="4"/>
            <w:tcBorders>
              <w:top w:val="nil"/>
              <w:left w:val="nil"/>
              <w:bottom w:val="nil"/>
              <w:right w:val="single" w:sz="8" w:space="0" w:color="000000"/>
            </w:tcBorders>
            <w:shd w:val="clear" w:color="auto" w:fill="auto"/>
          </w:tcPr>
          <w:p w:rsidR="0030208D" w:rsidRPr="001356F1" w:rsidRDefault="007724B1" w:rsidP="002069B3">
            <w:r>
              <w:rPr>
                <w:rFonts w:cs="Arial"/>
                <w:b/>
              </w:rPr>
              <w:t>M</w:t>
            </w:r>
            <w:r w:rsidR="000342B2" w:rsidRPr="007724B1">
              <w:rPr>
                <w:rFonts w:cs="Arial"/>
                <w:b/>
              </w:rPr>
              <w:t>ake</w:t>
            </w:r>
            <w:r w:rsidR="000342B2" w:rsidRPr="008711FA">
              <w:rPr>
                <w:rFonts w:cs="Arial"/>
              </w:rPr>
              <w:t xml:space="preserve"> any comments and recommendations regarding the future work of the Licensing </w:t>
            </w:r>
            <w:r w:rsidR="000342B2">
              <w:rPr>
                <w:rFonts w:cs="Arial"/>
              </w:rPr>
              <w:t>f</w:t>
            </w:r>
            <w:r w:rsidR="000342B2" w:rsidRPr="008711FA">
              <w:rPr>
                <w:rFonts w:cs="Arial"/>
              </w:rPr>
              <w:t>unction.</w:t>
            </w:r>
          </w:p>
        </w:tc>
      </w:tr>
      <w:tr w:rsidR="00232F5B" w:rsidRPr="00975B07" w:rsidTr="00B5080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4"/>
        </w:trPr>
        <w:tc>
          <w:tcPr>
            <w:tcW w:w="426" w:type="dxa"/>
            <w:tcBorders>
              <w:top w:val="nil"/>
              <w:left w:val="single" w:sz="8" w:space="0" w:color="000000"/>
              <w:bottom w:val="single" w:sz="8" w:space="0" w:color="000000"/>
              <w:right w:val="nil"/>
            </w:tcBorders>
          </w:tcPr>
          <w:p w:rsidR="0030208D" w:rsidRPr="00975B07" w:rsidRDefault="0030208D" w:rsidP="004A6D2F"/>
        </w:tc>
        <w:tc>
          <w:tcPr>
            <w:tcW w:w="8930" w:type="dxa"/>
            <w:gridSpan w:val="4"/>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C44BA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44BAE">
        <w:tc>
          <w:tcPr>
            <w:tcW w:w="2438" w:type="dxa"/>
            <w:tcBorders>
              <w:top w:val="single" w:sz="8" w:space="0" w:color="000000"/>
              <w:left w:val="single" w:sz="8" w:space="0" w:color="000000"/>
              <w:bottom w:val="nil"/>
              <w:right w:val="nil"/>
            </w:tcBorders>
            <w:shd w:val="clear" w:color="auto" w:fill="auto"/>
          </w:tcPr>
          <w:p w:rsidR="00ED5860" w:rsidRPr="00975B07" w:rsidRDefault="00DB5E76" w:rsidP="004A6D2F">
            <w:r>
              <w:t>Not applicable</w:t>
            </w:r>
          </w:p>
        </w:tc>
        <w:tc>
          <w:tcPr>
            <w:tcW w:w="6918" w:type="dxa"/>
            <w:tcBorders>
              <w:top w:val="single" w:sz="8" w:space="0" w:color="000000"/>
              <w:left w:val="nil"/>
              <w:bottom w:val="nil"/>
              <w:right w:val="single" w:sz="8" w:space="0" w:color="000000"/>
            </w:tcBorders>
          </w:tcPr>
          <w:p w:rsidR="00ED5860" w:rsidRPr="001356F1" w:rsidRDefault="00ED5860" w:rsidP="004A6D2F"/>
        </w:tc>
      </w:tr>
      <w:tr w:rsidR="0030208D" w:rsidRPr="00975B07" w:rsidTr="00C44BAE">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918" w:type="dxa"/>
            <w:tcBorders>
              <w:top w:val="nil"/>
              <w:left w:val="nil"/>
              <w:bottom w:val="single" w:sz="8" w:space="0" w:color="000000"/>
              <w:right w:val="single" w:sz="8" w:space="0" w:color="000000"/>
            </w:tcBorders>
          </w:tcPr>
          <w:p w:rsidR="0030208D" w:rsidRPr="001356F1" w:rsidRDefault="0030208D" w:rsidP="004A6D2F"/>
        </w:tc>
      </w:tr>
    </w:tbl>
    <w:p w:rsidR="0040736F" w:rsidRDefault="00F66DCA" w:rsidP="004A6D2F">
      <w:pPr>
        <w:pStyle w:val="Heading1"/>
      </w:pPr>
      <w:r w:rsidRPr="001356F1">
        <w:t>Introduction and b</w:t>
      </w:r>
      <w:r w:rsidR="00151888" w:rsidRPr="001356F1">
        <w:t>ackground</w:t>
      </w:r>
      <w:r w:rsidR="00404032" w:rsidRPr="001356F1">
        <w:t xml:space="preserve"> </w:t>
      </w:r>
    </w:p>
    <w:p w:rsidR="00C102CE" w:rsidRPr="00C102CE" w:rsidRDefault="00C102CE" w:rsidP="00C102CE"/>
    <w:p w:rsidR="00C12513" w:rsidRDefault="00C12513" w:rsidP="00C12513">
      <w:pPr>
        <w:pStyle w:val="BodyText"/>
        <w:numPr>
          <w:ilvl w:val="0"/>
          <w:numId w:val="34"/>
        </w:numPr>
        <w:tabs>
          <w:tab w:val="clear" w:pos="540"/>
          <w:tab w:val="num" w:pos="709"/>
        </w:tabs>
        <w:ind w:left="709" w:hanging="709"/>
        <w:rPr>
          <w:szCs w:val="24"/>
        </w:rPr>
      </w:pPr>
      <w:r w:rsidRPr="008A3C6C">
        <w:rPr>
          <w:szCs w:val="24"/>
        </w:rPr>
        <w:t xml:space="preserve">This report informs Committee of progress made by the Licensing Authority (“the Authority) under the duties of the Licensing Act 2003 and Gambling Act 2005 </w:t>
      </w:r>
      <w:r>
        <w:rPr>
          <w:szCs w:val="24"/>
        </w:rPr>
        <w:t xml:space="preserve">during the </w:t>
      </w:r>
      <w:r w:rsidR="00747A22">
        <w:rPr>
          <w:szCs w:val="24"/>
        </w:rPr>
        <w:t>current Council year (April 2018 – July 2018</w:t>
      </w:r>
      <w:r>
        <w:rPr>
          <w:szCs w:val="24"/>
        </w:rPr>
        <w:t>).</w:t>
      </w:r>
      <w:r w:rsidRPr="008A3C6C">
        <w:rPr>
          <w:szCs w:val="24"/>
        </w:rPr>
        <w:t xml:space="preserve"> Under Policy GN10 of the Statement of Licensing Policy, the Licensing Authority should report to the Committee on matters determined by the Head of </w:t>
      </w:r>
      <w:r>
        <w:rPr>
          <w:szCs w:val="24"/>
        </w:rPr>
        <w:t>Community Services</w:t>
      </w:r>
      <w:r w:rsidRPr="008A3C6C">
        <w:rPr>
          <w:szCs w:val="24"/>
        </w:rPr>
        <w:t xml:space="preserve"> with delegated authority.</w:t>
      </w:r>
    </w:p>
    <w:p w:rsidR="00DD425F" w:rsidRPr="008A3C6C" w:rsidRDefault="00DD425F" w:rsidP="00DD425F">
      <w:pPr>
        <w:pStyle w:val="BodyText"/>
        <w:rPr>
          <w:szCs w:val="24"/>
        </w:rPr>
      </w:pPr>
    </w:p>
    <w:p w:rsidR="00C12513" w:rsidRDefault="00C12513" w:rsidP="00C12513">
      <w:pPr>
        <w:pStyle w:val="BodyText"/>
        <w:numPr>
          <w:ilvl w:val="0"/>
          <w:numId w:val="34"/>
        </w:numPr>
        <w:tabs>
          <w:tab w:val="clear" w:pos="540"/>
          <w:tab w:val="num" w:pos="709"/>
        </w:tabs>
        <w:ind w:left="709" w:hanging="709"/>
        <w:rPr>
          <w:szCs w:val="24"/>
        </w:rPr>
      </w:pPr>
      <w:r w:rsidRPr="008A3C6C">
        <w:rPr>
          <w:szCs w:val="24"/>
        </w:rPr>
        <w:t>The report covers data on service volumes; details of Licensing hearing decisions; decisions made under delegated powers; information on Temporary Event Notices (“TENs”) and enforcement activity.</w:t>
      </w:r>
    </w:p>
    <w:p w:rsidR="003C141B" w:rsidRPr="003C141B" w:rsidRDefault="003C141B" w:rsidP="003C141B">
      <w:pPr>
        <w:pStyle w:val="ListParagraph"/>
        <w:numPr>
          <w:ilvl w:val="0"/>
          <w:numId w:val="0"/>
        </w:numPr>
        <w:ind w:left="360"/>
      </w:pPr>
      <w:bookmarkStart w:id="0" w:name="_GoBack"/>
      <w:bookmarkEnd w:id="0"/>
    </w:p>
    <w:p w:rsidR="00C12513" w:rsidRDefault="00C12513" w:rsidP="00C12513">
      <w:pPr>
        <w:pStyle w:val="BodyText"/>
        <w:tabs>
          <w:tab w:val="num" w:pos="709"/>
        </w:tabs>
        <w:ind w:left="709" w:hanging="709"/>
        <w:rPr>
          <w:szCs w:val="24"/>
        </w:rPr>
      </w:pPr>
    </w:p>
    <w:p w:rsidR="00C12513" w:rsidRPr="0008130D" w:rsidRDefault="00C12513" w:rsidP="00C12513">
      <w:pPr>
        <w:pStyle w:val="BodyText"/>
        <w:ind w:left="709" w:hanging="709"/>
        <w:rPr>
          <w:b/>
          <w:szCs w:val="24"/>
        </w:rPr>
      </w:pPr>
      <w:r w:rsidRPr="0008130D">
        <w:rPr>
          <w:b/>
          <w:szCs w:val="24"/>
        </w:rPr>
        <w:lastRenderedPageBreak/>
        <w:t>Applications Received by the Licensing Authority</w:t>
      </w:r>
    </w:p>
    <w:p w:rsidR="00C12513" w:rsidRPr="008A3C6C" w:rsidRDefault="00C12513" w:rsidP="00C12513">
      <w:pPr>
        <w:pStyle w:val="BodyText"/>
        <w:ind w:left="709" w:hanging="709"/>
        <w:rPr>
          <w:szCs w:val="24"/>
        </w:rPr>
      </w:pPr>
    </w:p>
    <w:p w:rsidR="00C12513" w:rsidRDefault="00C12513" w:rsidP="00C12513">
      <w:pPr>
        <w:pStyle w:val="BodyText"/>
        <w:ind w:left="709" w:hanging="709"/>
        <w:rPr>
          <w:szCs w:val="24"/>
        </w:rPr>
      </w:pPr>
      <w:r>
        <w:rPr>
          <w:szCs w:val="24"/>
        </w:rPr>
        <w:t>3.</w:t>
      </w:r>
      <w:r>
        <w:rPr>
          <w:szCs w:val="24"/>
        </w:rPr>
        <w:tab/>
      </w:r>
      <w:r w:rsidRPr="008A3C6C">
        <w:rPr>
          <w:szCs w:val="24"/>
        </w:rPr>
        <w:t xml:space="preserve">The table below provides data on licence applications received and processed during the </w:t>
      </w:r>
      <w:r w:rsidR="00DD425F">
        <w:rPr>
          <w:szCs w:val="24"/>
        </w:rPr>
        <w:t>current</w:t>
      </w:r>
      <w:r>
        <w:rPr>
          <w:szCs w:val="24"/>
        </w:rPr>
        <w:t xml:space="preserve"> Council year.</w:t>
      </w:r>
    </w:p>
    <w:tbl>
      <w:tblPr>
        <w:tblpPr w:leftFromText="180" w:rightFromText="180" w:vertAnchor="text" w:horzAnchor="margin" w:tblpXSpec="center" w:tblpY="241"/>
        <w:tblW w:w="8100" w:type="dxa"/>
        <w:tblLayout w:type="fixed"/>
        <w:tblCellMar>
          <w:left w:w="180" w:type="dxa"/>
          <w:right w:w="180" w:type="dxa"/>
        </w:tblCellMar>
        <w:tblLook w:val="0000" w:firstRow="0" w:lastRow="0" w:firstColumn="0" w:lastColumn="0" w:noHBand="0" w:noVBand="0"/>
      </w:tblPr>
      <w:tblGrid>
        <w:gridCol w:w="6417"/>
        <w:gridCol w:w="1683"/>
      </w:tblGrid>
      <w:tr w:rsidR="00C12513" w:rsidRPr="008A3C6C" w:rsidTr="00163708">
        <w:trPr>
          <w:trHeight w:val="397"/>
        </w:trPr>
        <w:tc>
          <w:tcPr>
            <w:tcW w:w="6417" w:type="dxa"/>
            <w:tcBorders>
              <w:top w:val="single" w:sz="8" w:space="0" w:color="auto"/>
              <w:left w:val="single" w:sz="8" w:space="0" w:color="auto"/>
              <w:bottom w:val="single" w:sz="8" w:space="0" w:color="auto"/>
              <w:right w:val="nil"/>
            </w:tcBorders>
            <w:vAlign w:val="center"/>
          </w:tcPr>
          <w:p w:rsidR="00C12513" w:rsidRPr="008A3C6C" w:rsidRDefault="00C12513" w:rsidP="00163708">
            <w:pPr>
              <w:rPr>
                <w:rFonts w:cs="Arial"/>
              </w:rPr>
            </w:pPr>
            <w:r w:rsidRPr="008A3C6C">
              <w:rPr>
                <w:rFonts w:cs="Arial"/>
                <w:b/>
                <w:bCs/>
              </w:rPr>
              <w:t>Applications</w:t>
            </w:r>
            <w:r>
              <w:rPr>
                <w:rFonts w:cs="Arial"/>
                <w:b/>
                <w:bCs/>
              </w:rPr>
              <w:t xml:space="preserve"> Type</w:t>
            </w:r>
          </w:p>
        </w:tc>
        <w:tc>
          <w:tcPr>
            <w:tcW w:w="1683" w:type="dxa"/>
            <w:tcBorders>
              <w:top w:val="single" w:sz="8" w:space="0" w:color="auto"/>
              <w:left w:val="single" w:sz="4" w:space="0" w:color="auto"/>
              <w:bottom w:val="single" w:sz="8" w:space="0" w:color="auto"/>
              <w:right w:val="single" w:sz="4" w:space="0" w:color="auto"/>
            </w:tcBorders>
            <w:vAlign w:val="center"/>
          </w:tcPr>
          <w:p w:rsidR="00C12513" w:rsidRPr="008A3C6C" w:rsidRDefault="00C12513" w:rsidP="00163708">
            <w:pPr>
              <w:ind w:left="113" w:right="113"/>
              <w:jc w:val="center"/>
              <w:rPr>
                <w:rFonts w:cs="Arial"/>
                <w:b/>
                <w:bCs/>
              </w:rPr>
            </w:pPr>
            <w:r>
              <w:rPr>
                <w:rFonts w:cs="Arial"/>
                <w:b/>
                <w:bCs/>
              </w:rPr>
              <w:t>TOTAL</w:t>
            </w:r>
          </w:p>
        </w:tc>
      </w:tr>
      <w:tr w:rsidR="00C12513" w:rsidRPr="00C03D92" w:rsidTr="00163708">
        <w:trPr>
          <w:trHeight w:val="397"/>
        </w:trPr>
        <w:tc>
          <w:tcPr>
            <w:tcW w:w="6417" w:type="dxa"/>
            <w:tcBorders>
              <w:top w:val="single" w:sz="8" w:space="0" w:color="auto"/>
              <w:left w:val="single" w:sz="8" w:space="0" w:color="auto"/>
              <w:bottom w:val="single" w:sz="8" w:space="0" w:color="auto"/>
              <w:right w:val="nil"/>
            </w:tcBorders>
            <w:vAlign w:val="center"/>
          </w:tcPr>
          <w:p w:rsidR="00C12513" w:rsidRPr="00C03D92" w:rsidRDefault="00C12513" w:rsidP="00163708">
            <w:pPr>
              <w:rPr>
                <w:rFonts w:cs="Arial"/>
                <w:b/>
              </w:rPr>
            </w:pPr>
            <w:r w:rsidRPr="00C03D92">
              <w:rPr>
                <w:rFonts w:cs="Arial"/>
                <w:b/>
              </w:rPr>
              <w:t>Gambling</w:t>
            </w:r>
          </w:p>
        </w:tc>
        <w:tc>
          <w:tcPr>
            <w:tcW w:w="1683" w:type="dxa"/>
            <w:tcBorders>
              <w:top w:val="single" w:sz="8" w:space="0" w:color="auto"/>
              <w:left w:val="single" w:sz="4" w:space="0" w:color="auto"/>
              <w:bottom w:val="single" w:sz="8" w:space="0" w:color="auto"/>
              <w:right w:val="single" w:sz="4" w:space="0" w:color="auto"/>
            </w:tcBorders>
            <w:vAlign w:val="center"/>
          </w:tcPr>
          <w:p w:rsidR="00C12513" w:rsidRPr="007A49CC" w:rsidDel="00A704DC" w:rsidRDefault="007A49CC" w:rsidP="00163708">
            <w:pPr>
              <w:jc w:val="center"/>
              <w:rPr>
                <w:rFonts w:cs="Arial"/>
                <w:b/>
                <w:bCs/>
              </w:rPr>
            </w:pPr>
            <w:r w:rsidRPr="007A49CC">
              <w:rPr>
                <w:rFonts w:cs="Arial"/>
                <w:b/>
                <w:bCs/>
              </w:rPr>
              <w:t>3</w:t>
            </w:r>
          </w:p>
        </w:tc>
      </w:tr>
      <w:tr w:rsidR="00C12513" w:rsidRPr="00C03D92" w:rsidTr="00163708">
        <w:trPr>
          <w:trHeight w:val="397"/>
        </w:trPr>
        <w:tc>
          <w:tcPr>
            <w:tcW w:w="6417" w:type="dxa"/>
            <w:tcBorders>
              <w:top w:val="single" w:sz="8" w:space="0" w:color="auto"/>
              <w:left w:val="single" w:sz="8" w:space="0" w:color="auto"/>
              <w:bottom w:val="single" w:sz="8" w:space="0" w:color="auto"/>
              <w:right w:val="nil"/>
            </w:tcBorders>
            <w:vAlign w:val="center"/>
          </w:tcPr>
          <w:p w:rsidR="00C12513" w:rsidRPr="00C03D92" w:rsidRDefault="00C12513" w:rsidP="00163708">
            <w:pPr>
              <w:rPr>
                <w:rFonts w:cs="Arial"/>
                <w:b/>
              </w:rPr>
            </w:pPr>
            <w:r w:rsidRPr="00C03D92">
              <w:rPr>
                <w:rFonts w:cs="Arial"/>
                <w:b/>
              </w:rPr>
              <w:t>New (Premises / Clubs)</w:t>
            </w:r>
          </w:p>
        </w:tc>
        <w:tc>
          <w:tcPr>
            <w:tcW w:w="1683" w:type="dxa"/>
            <w:tcBorders>
              <w:top w:val="single" w:sz="8" w:space="0" w:color="auto"/>
              <w:left w:val="single" w:sz="4" w:space="0" w:color="auto"/>
              <w:bottom w:val="single" w:sz="8" w:space="0" w:color="auto"/>
              <w:right w:val="single" w:sz="4" w:space="0" w:color="auto"/>
            </w:tcBorders>
            <w:vAlign w:val="center"/>
          </w:tcPr>
          <w:p w:rsidR="00C12513" w:rsidRPr="007A49CC" w:rsidDel="00A704DC" w:rsidRDefault="007A49CC" w:rsidP="00B66DB1">
            <w:pPr>
              <w:jc w:val="center"/>
              <w:rPr>
                <w:rFonts w:cs="Arial"/>
                <w:b/>
                <w:bCs/>
              </w:rPr>
            </w:pPr>
            <w:r w:rsidRPr="007A49CC">
              <w:rPr>
                <w:rFonts w:cs="Arial"/>
                <w:b/>
                <w:bCs/>
              </w:rPr>
              <w:t>7</w:t>
            </w:r>
          </w:p>
        </w:tc>
      </w:tr>
      <w:tr w:rsidR="00C12513" w:rsidRPr="00C03D92" w:rsidTr="00163708">
        <w:trPr>
          <w:trHeight w:val="397"/>
        </w:trPr>
        <w:tc>
          <w:tcPr>
            <w:tcW w:w="6417" w:type="dxa"/>
            <w:tcBorders>
              <w:top w:val="single" w:sz="8" w:space="0" w:color="auto"/>
              <w:left w:val="single" w:sz="8" w:space="0" w:color="auto"/>
              <w:bottom w:val="single" w:sz="8" w:space="0" w:color="auto"/>
              <w:right w:val="nil"/>
            </w:tcBorders>
            <w:vAlign w:val="center"/>
          </w:tcPr>
          <w:p w:rsidR="00C12513" w:rsidRPr="00C03D92" w:rsidRDefault="00C12513" w:rsidP="00163708">
            <w:pPr>
              <w:rPr>
                <w:rFonts w:cs="Arial"/>
                <w:b/>
              </w:rPr>
            </w:pPr>
            <w:r>
              <w:rPr>
                <w:rFonts w:cs="Arial"/>
                <w:b/>
              </w:rPr>
              <w:t>Variations (incl. Minor Variations) (Premises / Clubs)</w:t>
            </w:r>
          </w:p>
        </w:tc>
        <w:tc>
          <w:tcPr>
            <w:tcW w:w="1683" w:type="dxa"/>
            <w:tcBorders>
              <w:top w:val="single" w:sz="8" w:space="0" w:color="auto"/>
              <w:left w:val="single" w:sz="4" w:space="0" w:color="auto"/>
              <w:bottom w:val="single" w:sz="8" w:space="0" w:color="auto"/>
              <w:right w:val="single" w:sz="4" w:space="0" w:color="auto"/>
            </w:tcBorders>
            <w:vAlign w:val="center"/>
          </w:tcPr>
          <w:p w:rsidR="00C12513" w:rsidRPr="00747A22" w:rsidRDefault="007A49CC" w:rsidP="00D609AF">
            <w:pPr>
              <w:jc w:val="center"/>
              <w:rPr>
                <w:rFonts w:cs="Arial"/>
                <w:b/>
                <w:bCs/>
                <w:highlight w:val="yellow"/>
              </w:rPr>
            </w:pPr>
            <w:r w:rsidRPr="007A49CC">
              <w:rPr>
                <w:rFonts w:cs="Arial"/>
                <w:b/>
                <w:bCs/>
              </w:rPr>
              <w:t>1</w:t>
            </w:r>
            <w:r>
              <w:rPr>
                <w:rFonts w:cs="Arial"/>
                <w:b/>
                <w:bCs/>
              </w:rPr>
              <w:t>3</w:t>
            </w:r>
          </w:p>
        </w:tc>
      </w:tr>
      <w:tr w:rsidR="00747A22" w:rsidRPr="00C03D92" w:rsidTr="00163708">
        <w:trPr>
          <w:trHeight w:val="397"/>
        </w:trPr>
        <w:tc>
          <w:tcPr>
            <w:tcW w:w="6417" w:type="dxa"/>
            <w:tcBorders>
              <w:top w:val="single" w:sz="8" w:space="0" w:color="auto"/>
              <w:left w:val="single" w:sz="8" w:space="0" w:color="auto"/>
              <w:bottom w:val="single" w:sz="8" w:space="0" w:color="auto"/>
              <w:right w:val="nil"/>
            </w:tcBorders>
            <w:vAlign w:val="center"/>
          </w:tcPr>
          <w:p w:rsidR="00747A22" w:rsidRDefault="00747A22" w:rsidP="00163708">
            <w:pPr>
              <w:rPr>
                <w:rFonts w:cs="Arial"/>
                <w:b/>
              </w:rPr>
            </w:pPr>
            <w:r>
              <w:rPr>
                <w:rFonts w:cs="Arial"/>
                <w:b/>
              </w:rPr>
              <w:t>Transfer (Premises)</w:t>
            </w:r>
          </w:p>
        </w:tc>
        <w:tc>
          <w:tcPr>
            <w:tcW w:w="1683" w:type="dxa"/>
            <w:tcBorders>
              <w:top w:val="single" w:sz="8" w:space="0" w:color="auto"/>
              <w:left w:val="single" w:sz="4" w:space="0" w:color="auto"/>
              <w:bottom w:val="single" w:sz="8" w:space="0" w:color="auto"/>
              <w:right w:val="single" w:sz="4" w:space="0" w:color="auto"/>
            </w:tcBorders>
            <w:vAlign w:val="center"/>
          </w:tcPr>
          <w:p w:rsidR="00747A22" w:rsidRPr="00747A22" w:rsidRDefault="007A49CC" w:rsidP="00D609AF">
            <w:pPr>
              <w:jc w:val="center"/>
              <w:rPr>
                <w:rFonts w:cs="Arial"/>
                <w:b/>
                <w:bCs/>
                <w:highlight w:val="yellow"/>
              </w:rPr>
            </w:pPr>
            <w:r w:rsidRPr="007A49CC">
              <w:rPr>
                <w:rFonts w:cs="Arial"/>
                <w:b/>
                <w:bCs/>
              </w:rPr>
              <w:t>15</w:t>
            </w:r>
          </w:p>
        </w:tc>
      </w:tr>
      <w:tr w:rsidR="00C12513" w:rsidRPr="00C03D92" w:rsidTr="00163708">
        <w:trPr>
          <w:trHeight w:val="397"/>
        </w:trPr>
        <w:tc>
          <w:tcPr>
            <w:tcW w:w="6417" w:type="dxa"/>
            <w:tcBorders>
              <w:top w:val="single" w:sz="8" w:space="0" w:color="auto"/>
              <w:left w:val="single" w:sz="8" w:space="0" w:color="auto"/>
              <w:bottom w:val="single" w:sz="8" w:space="0" w:color="auto"/>
              <w:right w:val="nil"/>
            </w:tcBorders>
            <w:vAlign w:val="center"/>
          </w:tcPr>
          <w:p w:rsidR="00C12513" w:rsidRPr="00C03D92" w:rsidRDefault="00C12513" w:rsidP="00163708">
            <w:pPr>
              <w:rPr>
                <w:rFonts w:cs="Arial"/>
                <w:b/>
              </w:rPr>
            </w:pPr>
            <w:r w:rsidRPr="00C03D92">
              <w:rPr>
                <w:rFonts w:cs="Arial"/>
                <w:b/>
              </w:rPr>
              <w:t>Personal Licences</w:t>
            </w:r>
          </w:p>
        </w:tc>
        <w:tc>
          <w:tcPr>
            <w:tcW w:w="1683" w:type="dxa"/>
            <w:tcBorders>
              <w:top w:val="single" w:sz="8" w:space="0" w:color="auto"/>
              <w:left w:val="single" w:sz="4" w:space="0" w:color="auto"/>
              <w:bottom w:val="single" w:sz="8" w:space="0" w:color="auto"/>
              <w:right w:val="single" w:sz="4" w:space="0" w:color="auto"/>
            </w:tcBorders>
            <w:vAlign w:val="center"/>
          </w:tcPr>
          <w:p w:rsidR="00C12513" w:rsidRPr="00747A22" w:rsidDel="00A704DC" w:rsidRDefault="007A49CC" w:rsidP="0079266F">
            <w:pPr>
              <w:jc w:val="center"/>
              <w:rPr>
                <w:rFonts w:cs="Arial"/>
                <w:b/>
                <w:bCs/>
                <w:highlight w:val="yellow"/>
              </w:rPr>
            </w:pPr>
            <w:r w:rsidRPr="007A49CC">
              <w:rPr>
                <w:rFonts w:cs="Arial"/>
                <w:b/>
                <w:bCs/>
              </w:rPr>
              <w:t>42</w:t>
            </w:r>
          </w:p>
        </w:tc>
      </w:tr>
      <w:tr w:rsidR="00C12513" w:rsidRPr="00C03D92" w:rsidTr="00163708">
        <w:trPr>
          <w:trHeight w:val="397"/>
        </w:trPr>
        <w:tc>
          <w:tcPr>
            <w:tcW w:w="6417" w:type="dxa"/>
            <w:tcBorders>
              <w:top w:val="single" w:sz="8" w:space="0" w:color="auto"/>
              <w:left w:val="single" w:sz="8" w:space="0" w:color="auto"/>
              <w:bottom w:val="single" w:sz="8" w:space="0" w:color="auto"/>
              <w:right w:val="nil"/>
            </w:tcBorders>
            <w:vAlign w:val="center"/>
          </w:tcPr>
          <w:p w:rsidR="00C12513" w:rsidRPr="00C03D92" w:rsidRDefault="00C12513" w:rsidP="00163708">
            <w:pPr>
              <w:rPr>
                <w:rFonts w:cs="Arial"/>
                <w:b/>
              </w:rPr>
            </w:pPr>
            <w:r w:rsidRPr="00C03D92">
              <w:rPr>
                <w:rFonts w:cs="Arial"/>
                <w:b/>
              </w:rPr>
              <w:t>Administrative Changes</w:t>
            </w:r>
          </w:p>
        </w:tc>
        <w:tc>
          <w:tcPr>
            <w:tcW w:w="1683" w:type="dxa"/>
            <w:tcBorders>
              <w:top w:val="single" w:sz="8" w:space="0" w:color="auto"/>
              <w:left w:val="single" w:sz="4" w:space="0" w:color="auto"/>
              <w:bottom w:val="single" w:sz="8" w:space="0" w:color="auto"/>
              <w:right w:val="single" w:sz="4" w:space="0" w:color="auto"/>
            </w:tcBorders>
            <w:vAlign w:val="center"/>
          </w:tcPr>
          <w:p w:rsidR="00C12513" w:rsidRPr="00747A22" w:rsidDel="00A704DC" w:rsidRDefault="008F2661" w:rsidP="00A56019">
            <w:pPr>
              <w:jc w:val="center"/>
              <w:rPr>
                <w:rFonts w:cs="Arial"/>
                <w:b/>
                <w:bCs/>
                <w:highlight w:val="yellow"/>
              </w:rPr>
            </w:pPr>
            <w:r w:rsidRPr="008F2661">
              <w:rPr>
                <w:rFonts w:cs="Arial"/>
                <w:b/>
                <w:bCs/>
              </w:rPr>
              <w:t>49</w:t>
            </w:r>
          </w:p>
        </w:tc>
      </w:tr>
      <w:tr w:rsidR="00C12513" w:rsidRPr="00C03D92" w:rsidTr="00163708">
        <w:trPr>
          <w:trHeight w:val="397"/>
        </w:trPr>
        <w:tc>
          <w:tcPr>
            <w:tcW w:w="6417" w:type="dxa"/>
            <w:tcBorders>
              <w:top w:val="single" w:sz="8" w:space="0" w:color="auto"/>
              <w:left w:val="single" w:sz="8" w:space="0" w:color="auto"/>
              <w:bottom w:val="single" w:sz="8" w:space="0" w:color="auto"/>
              <w:right w:val="nil"/>
            </w:tcBorders>
            <w:vAlign w:val="center"/>
          </w:tcPr>
          <w:p w:rsidR="00C12513" w:rsidRPr="00C03D92" w:rsidRDefault="00C12513" w:rsidP="00163708">
            <w:pPr>
              <w:rPr>
                <w:rFonts w:cs="Arial"/>
                <w:b/>
              </w:rPr>
            </w:pPr>
            <w:r>
              <w:rPr>
                <w:rFonts w:cs="Arial"/>
                <w:b/>
              </w:rPr>
              <w:t>Temporary Event Notices (</w:t>
            </w:r>
            <w:r w:rsidRPr="00C03D92">
              <w:rPr>
                <w:rFonts w:cs="Arial"/>
                <w:b/>
              </w:rPr>
              <w:t>TEN’s</w:t>
            </w:r>
            <w:r>
              <w:rPr>
                <w:rFonts w:cs="Arial"/>
                <w:b/>
              </w:rPr>
              <w:t>)</w:t>
            </w:r>
          </w:p>
        </w:tc>
        <w:tc>
          <w:tcPr>
            <w:tcW w:w="1683" w:type="dxa"/>
            <w:tcBorders>
              <w:top w:val="single" w:sz="8" w:space="0" w:color="auto"/>
              <w:left w:val="single" w:sz="4" w:space="0" w:color="auto"/>
              <w:bottom w:val="single" w:sz="8" w:space="0" w:color="auto"/>
              <w:right w:val="single" w:sz="4" w:space="0" w:color="auto"/>
            </w:tcBorders>
            <w:vAlign w:val="center"/>
          </w:tcPr>
          <w:p w:rsidR="00C12513" w:rsidRPr="00747A22" w:rsidDel="00A704DC" w:rsidRDefault="007A49CC" w:rsidP="00641E09">
            <w:pPr>
              <w:jc w:val="center"/>
              <w:rPr>
                <w:rFonts w:cs="Arial"/>
                <w:b/>
                <w:bCs/>
                <w:highlight w:val="yellow"/>
              </w:rPr>
            </w:pPr>
            <w:r w:rsidRPr="007A49CC">
              <w:rPr>
                <w:rFonts w:cs="Arial"/>
                <w:b/>
                <w:bCs/>
              </w:rPr>
              <w:t>256</w:t>
            </w:r>
          </w:p>
        </w:tc>
      </w:tr>
    </w:tbl>
    <w:p w:rsidR="00C12513" w:rsidRPr="00C03D92" w:rsidRDefault="00C12513" w:rsidP="00C12513">
      <w:pPr>
        <w:pStyle w:val="BodyText"/>
        <w:ind w:left="709" w:hanging="709"/>
        <w:jc w:val="both"/>
        <w:rPr>
          <w:szCs w:val="24"/>
          <w:lang w:val="en-GB"/>
        </w:rPr>
      </w:pPr>
    </w:p>
    <w:p w:rsidR="00C12513" w:rsidRPr="008A3C6C" w:rsidRDefault="00C12513" w:rsidP="00C12513">
      <w:pPr>
        <w:ind w:left="709" w:hanging="709"/>
        <w:rPr>
          <w:rFonts w:cs="Arial"/>
        </w:rPr>
      </w:pPr>
    </w:p>
    <w:p w:rsidR="003303DA" w:rsidRDefault="003303DA" w:rsidP="00C12513">
      <w:pPr>
        <w:pStyle w:val="BodyText"/>
        <w:ind w:left="709" w:hanging="709"/>
        <w:rPr>
          <w:b/>
          <w:bCs/>
          <w:szCs w:val="24"/>
          <w:lang w:val="en-GB"/>
        </w:rPr>
      </w:pPr>
    </w:p>
    <w:p w:rsidR="003303DA" w:rsidRDefault="003303DA" w:rsidP="00C12513">
      <w:pPr>
        <w:pStyle w:val="BodyText"/>
        <w:ind w:left="709" w:hanging="709"/>
        <w:rPr>
          <w:b/>
          <w:bCs/>
          <w:szCs w:val="24"/>
          <w:lang w:val="en-GB"/>
        </w:rPr>
      </w:pPr>
    </w:p>
    <w:p w:rsidR="003303DA" w:rsidRDefault="003303DA" w:rsidP="00C12513">
      <w:pPr>
        <w:pStyle w:val="BodyText"/>
        <w:ind w:left="709" w:hanging="709"/>
        <w:rPr>
          <w:b/>
          <w:bCs/>
          <w:szCs w:val="24"/>
          <w:lang w:val="en-GB"/>
        </w:rPr>
      </w:pPr>
    </w:p>
    <w:p w:rsidR="003303DA" w:rsidRDefault="003303DA" w:rsidP="00C12513">
      <w:pPr>
        <w:pStyle w:val="BodyText"/>
        <w:ind w:left="709" w:hanging="709"/>
        <w:rPr>
          <w:b/>
          <w:bCs/>
          <w:szCs w:val="24"/>
          <w:lang w:val="en-GB"/>
        </w:rPr>
      </w:pPr>
    </w:p>
    <w:p w:rsidR="003303DA" w:rsidRDefault="003303DA" w:rsidP="00C12513">
      <w:pPr>
        <w:pStyle w:val="BodyText"/>
        <w:ind w:left="709" w:hanging="709"/>
        <w:rPr>
          <w:b/>
          <w:bCs/>
          <w:szCs w:val="24"/>
          <w:lang w:val="en-GB"/>
        </w:rPr>
      </w:pPr>
    </w:p>
    <w:p w:rsidR="00C12513" w:rsidRPr="008A3C6C" w:rsidRDefault="00C12513" w:rsidP="00C12513">
      <w:pPr>
        <w:pStyle w:val="BodyText"/>
        <w:ind w:left="709" w:hanging="709"/>
        <w:rPr>
          <w:b/>
          <w:bCs/>
          <w:szCs w:val="24"/>
          <w:lang w:val="en-GB"/>
        </w:rPr>
      </w:pPr>
      <w:r w:rsidRPr="008A3C6C">
        <w:rPr>
          <w:b/>
          <w:bCs/>
          <w:szCs w:val="24"/>
          <w:lang w:val="en-GB"/>
        </w:rPr>
        <w:t>Temporary Event Notices</w:t>
      </w:r>
    </w:p>
    <w:p w:rsidR="00C12513" w:rsidRPr="00B1138E" w:rsidRDefault="00C12513" w:rsidP="00C12513">
      <w:pPr>
        <w:pStyle w:val="BodyText"/>
        <w:tabs>
          <w:tab w:val="left" w:pos="0"/>
        </w:tabs>
        <w:ind w:left="709" w:hanging="709"/>
        <w:rPr>
          <w:b/>
          <w:bCs/>
          <w:sz w:val="16"/>
          <w:szCs w:val="16"/>
          <w:lang w:val="en-GB"/>
        </w:rPr>
      </w:pPr>
    </w:p>
    <w:p w:rsidR="00C12513" w:rsidRDefault="00037C60" w:rsidP="00D91471">
      <w:pPr>
        <w:pStyle w:val="BodyText"/>
        <w:ind w:left="709" w:hanging="709"/>
        <w:rPr>
          <w:szCs w:val="24"/>
        </w:rPr>
      </w:pPr>
      <w:r>
        <w:rPr>
          <w:szCs w:val="24"/>
        </w:rPr>
        <w:t>4.</w:t>
      </w:r>
      <w:r w:rsidR="00C12513">
        <w:rPr>
          <w:szCs w:val="24"/>
        </w:rPr>
        <w:t xml:space="preserve"> </w:t>
      </w:r>
      <w:r>
        <w:rPr>
          <w:szCs w:val="24"/>
        </w:rPr>
        <w:t xml:space="preserve">       </w:t>
      </w:r>
      <w:r w:rsidR="00C12513">
        <w:rPr>
          <w:szCs w:val="24"/>
        </w:rPr>
        <w:t xml:space="preserve">A </w:t>
      </w:r>
      <w:r w:rsidR="00C12513" w:rsidRPr="008A3C6C">
        <w:rPr>
          <w:szCs w:val="24"/>
        </w:rPr>
        <w:t>Temporary Event Notice (TEN) is a notification given by an individual to Oxford City Council giving notice of an event that is to take place</w:t>
      </w:r>
      <w:r w:rsidR="00C12513">
        <w:rPr>
          <w:szCs w:val="24"/>
        </w:rPr>
        <w:t xml:space="preserve"> for an </w:t>
      </w:r>
      <w:proofErr w:type="spellStart"/>
      <w:r w:rsidR="00C12513">
        <w:rPr>
          <w:szCs w:val="24"/>
        </w:rPr>
        <w:t>adhoc</w:t>
      </w:r>
      <w:proofErr w:type="spellEnd"/>
      <w:r w:rsidR="00C12513">
        <w:rPr>
          <w:szCs w:val="24"/>
        </w:rPr>
        <w:t xml:space="preserve"> event or an extension to an existing licence. </w:t>
      </w:r>
    </w:p>
    <w:p w:rsidR="00C12513" w:rsidRDefault="00C12513" w:rsidP="00D91471">
      <w:pPr>
        <w:pStyle w:val="BodyText"/>
        <w:tabs>
          <w:tab w:val="left" w:pos="0"/>
        </w:tabs>
        <w:ind w:left="709" w:hanging="709"/>
        <w:rPr>
          <w:szCs w:val="24"/>
        </w:rPr>
      </w:pPr>
    </w:p>
    <w:p w:rsidR="00C12513" w:rsidRDefault="00037C60" w:rsidP="00D91471">
      <w:pPr>
        <w:pStyle w:val="BodyText"/>
        <w:ind w:left="709" w:hanging="709"/>
        <w:rPr>
          <w:szCs w:val="24"/>
        </w:rPr>
      </w:pPr>
      <w:r>
        <w:rPr>
          <w:szCs w:val="24"/>
        </w:rPr>
        <w:t>5</w:t>
      </w:r>
      <w:r w:rsidR="00FB4584">
        <w:rPr>
          <w:szCs w:val="24"/>
        </w:rPr>
        <w:t>.</w:t>
      </w:r>
      <w:r>
        <w:rPr>
          <w:szCs w:val="24"/>
        </w:rPr>
        <w:t xml:space="preserve">        </w:t>
      </w:r>
      <w:r w:rsidR="00C12513">
        <w:rPr>
          <w:szCs w:val="24"/>
        </w:rPr>
        <w:t>Only Thames Valley Police or the Environmental Health Service can object to a TEN. If, as in most cases, there is no objection and the application does not exceed the maximum number of events in a year permitted by the 2003 Act, the TEN is simply acknowledged and returned to the applicant. Should the Police or Environmental Health object then the TEN will go to a hearing or be refused and a Counter Notice issued.</w:t>
      </w:r>
    </w:p>
    <w:p w:rsidR="008C085F" w:rsidRDefault="008C085F" w:rsidP="00FB4584">
      <w:pPr>
        <w:pStyle w:val="BodyText"/>
        <w:ind w:left="709" w:hanging="709"/>
        <w:rPr>
          <w:szCs w:val="24"/>
          <w:highlight w:val="yellow"/>
        </w:rPr>
      </w:pPr>
      <w:r>
        <w:rPr>
          <w:szCs w:val="24"/>
          <w:highlight w:val="yellow"/>
        </w:rPr>
        <w:t xml:space="preserve"> </w:t>
      </w:r>
    </w:p>
    <w:p w:rsidR="00C12513" w:rsidRPr="009C5DAF" w:rsidRDefault="00245860" w:rsidP="00FB4584">
      <w:pPr>
        <w:pStyle w:val="BodyText"/>
        <w:ind w:left="709" w:hanging="709"/>
        <w:rPr>
          <w:szCs w:val="24"/>
        </w:rPr>
      </w:pPr>
      <w:r>
        <w:rPr>
          <w:szCs w:val="24"/>
        </w:rPr>
        <w:t>6.       One</w:t>
      </w:r>
      <w:r w:rsidR="007A49CC">
        <w:rPr>
          <w:szCs w:val="24"/>
        </w:rPr>
        <w:t xml:space="preserve"> objection from Thames Valley Police was received in regard to a Temporary Event Notice</w:t>
      </w:r>
      <w:r w:rsidR="00C12513" w:rsidRPr="009C5DAF">
        <w:rPr>
          <w:szCs w:val="24"/>
        </w:rPr>
        <w:t xml:space="preserve"> made to the Licensing Authority during this reporting period.</w:t>
      </w:r>
      <w:r w:rsidR="007A49CC">
        <w:rPr>
          <w:szCs w:val="24"/>
        </w:rPr>
        <w:t xml:space="preserve"> The notice was subsequently withdrawn by the Applicant.</w:t>
      </w:r>
    </w:p>
    <w:p w:rsidR="00C12513" w:rsidRDefault="00C12513" w:rsidP="00C12513">
      <w:pPr>
        <w:pStyle w:val="ListParagraph"/>
        <w:numPr>
          <w:ilvl w:val="0"/>
          <w:numId w:val="0"/>
        </w:numPr>
        <w:ind w:left="709"/>
      </w:pPr>
    </w:p>
    <w:p w:rsidR="00C12513" w:rsidRPr="00CE23F5" w:rsidRDefault="00C12513" w:rsidP="00C12513">
      <w:pPr>
        <w:pStyle w:val="BodyText"/>
        <w:ind w:left="709" w:hanging="709"/>
        <w:rPr>
          <w:b/>
          <w:szCs w:val="24"/>
        </w:rPr>
      </w:pPr>
      <w:r w:rsidRPr="00CE23F5">
        <w:rPr>
          <w:b/>
          <w:szCs w:val="24"/>
        </w:rPr>
        <w:t>Applications Granted</w:t>
      </w:r>
      <w:r>
        <w:rPr>
          <w:b/>
          <w:szCs w:val="24"/>
        </w:rPr>
        <w:t xml:space="preserve"> or Refused</w:t>
      </w:r>
      <w:r w:rsidRPr="00CE23F5">
        <w:rPr>
          <w:b/>
          <w:szCs w:val="24"/>
        </w:rPr>
        <w:t xml:space="preserve"> by the Licensing Authority</w:t>
      </w:r>
    </w:p>
    <w:p w:rsidR="00C12513" w:rsidRPr="00DB59F0" w:rsidRDefault="00C12513" w:rsidP="00C12513">
      <w:pPr>
        <w:pStyle w:val="BodyText"/>
        <w:ind w:left="709" w:hanging="709"/>
        <w:rPr>
          <w:szCs w:val="24"/>
        </w:rPr>
      </w:pPr>
    </w:p>
    <w:p w:rsidR="00C12513" w:rsidRDefault="00FB4584" w:rsidP="007E3C5A">
      <w:pPr>
        <w:pStyle w:val="BodyText"/>
        <w:ind w:left="720" w:hanging="720"/>
        <w:rPr>
          <w:szCs w:val="24"/>
        </w:rPr>
      </w:pPr>
      <w:r>
        <w:rPr>
          <w:szCs w:val="24"/>
        </w:rPr>
        <w:t xml:space="preserve">7.        </w:t>
      </w:r>
      <w:r w:rsidR="00C12513" w:rsidRPr="00DB59F0">
        <w:rPr>
          <w:szCs w:val="24"/>
        </w:rPr>
        <w:t>A hearing is not required where an application has been lawfully made and no Responsible Authority or Interested Party has made a representation</w:t>
      </w:r>
      <w:r w:rsidR="00C12513">
        <w:rPr>
          <w:szCs w:val="24"/>
        </w:rPr>
        <w:t>, or if the application made is a Minor Variation</w:t>
      </w:r>
      <w:r w:rsidR="00C12513" w:rsidRPr="00DB59F0">
        <w:rPr>
          <w:szCs w:val="24"/>
        </w:rPr>
        <w:t xml:space="preserve">. </w:t>
      </w:r>
      <w:r w:rsidR="007E3C5A" w:rsidRPr="00CE4532">
        <w:rPr>
          <w:szCs w:val="24"/>
        </w:rPr>
        <w:t>2</w:t>
      </w:r>
      <w:r w:rsidR="00CE4532">
        <w:rPr>
          <w:szCs w:val="24"/>
        </w:rPr>
        <w:t>2</w:t>
      </w:r>
      <w:r w:rsidR="007E3C5A" w:rsidRPr="00CE4532">
        <w:rPr>
          <w:szCs w:val="24"/>
        </w:rPr>
        <w:t xml:space="preserve"> </w:t>
      </w:r>
      <w:r w:rsidR="00C12513" w:rsidRPr="00CE4532">
        <w:rPr>
          <w:szCs w:val="24"/>
        </w:rPr>
        <w:t xml:space="preserve">Premises </w:t>
      </w:r>
      <w:proofErr w:type="spellStart"/>
      <w:r w:rsidR="00C12513" w:rsidRPr="00CE4532">
        <w:rPr>
          <w:szCs w:val="24"/>
        </w:rPr>
        <w:t>Licences</w:t>
      </w:r>
      <w:proofErr w:type="spellEnd"/>
      <w:r w:rsidR="00C12513" w:rsidRPr="00DB59F0">
        <w:rPr>
          <w:szCs w:val="24"/>
        </w:rPr>
        <w:t xml:space="preserve"> in this category were issued by the Head of </w:t>
      </w:r>
      <w:r w:rsidR="00C12513">
        <w:rPr>
          <w:szCs w:val="24"/>
        </w:rPr>
        <w:t xml:space="preserve">Community Services </w:t>
      </w:r>
      <w:r w:rsidR="00C12513" w:rsidRPr="00DB59F0">
        <w:rPr>
          <w:szCs w:val="24"/>
        </w:rPr>
        <w:t>under delegated authority.</w:t>
      </w:r>
    </w:p>
    <w:p w:rsidR="00C12513" w:rsidRDefault="00C12513" w:rsidP="00D91471">
      <w:pPr>
        <w:pStyle w:val="BodyText"/>
        <w:ind w:left="720" w:hanging="720"/>
        <w:rPr>
          <w:szCs w:val="24"/>
        </w:rPr>
      </w:pPr>
    </w:p>
    <w:p w:rsidR="00D91471" w:rsidRDefault="008C085F" w:rsidP="00927C5E">
      <w:pPr>
        <w:pStyle w:val="BodyText"/>
        <w:ind w:left="720" w:hanging="720"/>
        <w:rPr>
          <w:szCs w:val="24"/>
        </w:rPr>
      </w:pPr>
      <w:r>
        <w:rPr>
          <w:szCs w:val="24"/>
        </w:rPr>
        <w:t xml:space="preserve">8.        </w:t>
      </w:r>
      <w:r w:rsidR="00C12513">
        <w:rPr>
          <w:szCs w:val="24"/>
        </w:rPr>
        <w:t xml:space="preserve">If a relevant objection is received in relation to a Minor Variation application, the </w:t>
      </w:r>
      <w:r w:rsidR="00C12513" w:rsidRPr="00CE4532">
        <w:rPr>
          <w:szCs w:val="24"/>
        </w:rPr>
        <w:t>Licensing Authority delegates the determination of the application to Officers. No such applications met with relevant representations.</w:t>
      </w:r>
    </w:p>
    <w:p w:rsidR="00FB4584" w:rsidRDefault="00FB4584" w:rsidP="00927C5E">
      <w:pPr>
        <w:pStyle w:val="BodyText"/>
        <w:ind w:left="720" w:hanging="720"/>
        <w:rPr>
          <w:szCs w:val="24"/>
        </w:rPr>
      </w:pPr>
    </w:p>
    <w:p w:rsidR="00C12513" w:rsidRPr="003623A4" w:rsidRDefault="00CE4532" w:rsidP="00927C5E">
      <w:pPr>
        <w:pStyle w:val="BodyText"/>
        <w:numPr>
          <w:ilvl w:val="0"/>
          <w:numId w:val="39"/>
        </w:numPr>
        <w:ind w:left="720" w:hanging="720"/>
        <w:rPr>
          <w:szCs w:val="24"/>
        </w:rPr>
      </w:pPr>
      <w:r w:rsidRPr="00CE4532">
        <w:rPr>
          <w:szCs w:val="24"/>
        </w:rPr>
        <w:t>Three</w:t>
      </w:r>
      <w:r w:rsidR="00C12513" w:rsidRPr="00CE4532">
        <w:rPr>
          <w:szCs w:val="24"/>
        </w:rPr>
        <w:t xml:space="preserve"> application</w:t>
      </w:r>
      <w:r w:rsidRPr="00CE4532">
        <w:rPr>
          <w:szCs w:val="24"/>
        </w:rPr>
        <w:t>s</w:t>
      </w:r>
      <w:r w:rsidR="00C12513">
        <w:rPr>
          <w:szCs w:val="24"/>
        </w:rPr>
        <w:t xml:space="preserve"> w</w:t>
      </w:r>
      <w:r>
        <w:rPr>
          <w:szCs w:val="24"/>
        </w:rPr>
        <w:t>ere</w:t>
      </w:r>
      <w:r w:rsidR="00C12513">
        <w:rPr>
          <w:szCs w:val="24"/>
        </w:rPr>
        <w:t xml:space="preserve"> the subject </w:t>
      </w:r>
      <w:r w:rsidR="00A459B3">
        <w:rPr>
          <w:szCs w:val="24"/>
        </w:rPr>
        <w:t xml:space="preserve">of relevant representations, </w:t>
      </w:r>
      <w:r w:rsidR="00C12513">
        <w:rPr>
          <w:szCs w:val="24"/>
        </w:rPr>
        <w:t>which then required determination by the Licensing Sub-Committee. Details of the work of the Sub-Committee can be found later in this report.</w:t>
      </w:r>
      <w:r w:rsidR="00C12513" w:rsidRPr="00C470EB">
        <w:t xml:space="preserve"> </w:t>
      </w:r>
    </w:p>
    <w:p w:rsidR="003623A4" w:rsidRDefault="003623A4" w:rsidP="003623A4">
      <w:pPr>
        <w:pStyle w:val="BodyText"/>
      </w:pPr>
    </w:p>
    <w:p w:rsidR="003623A4" w:rsidRPr="009A141B" w:rsidRDefault="003623A4" w:rsidP="003623A4">
      <w:pPr>
        <w:pStyle w:val="BodyText"/>
        <w:rPr>
          <w:szCs w:val="24"/>
        </w:rPr>
      </w:pPr>
    </w:p>
    <w:p w:rsidR="00C12513" w:rsidRDefault="00C12513" w:rsidP="00D91471">
      <w:pPr>
        <w:pStyle w:val="ListParagraph"/>
        <w:numPr>
          <w:ilvl w:val="0"/>
          <w:numId w:val="0"/>
        </w:numPr>
        <w:ind w:left="720" w:hanging="720"/>
      </w:pPr>
    </w:p>
    <w:p w:rsidR="003623A4" w:rsidRDefault="003623A4" w:rsidP="00C12513">
      <w:pPr>
        <w:ind w:left="709" w:hanging="709"/>
        <w:rPr>
          <w:rFonts w:cs="Arial"/>
          <w:b/>
          <w:bCs/>
        </w:rPr>
      </w:pPr>
      <w:bookmarkStart w:id="1" w:name="OLE_LINK4"/>
      <w:bookmarkStart w:id="2" w:name="OLE_LINK5"/>
    </w:p>
    <w:p w:rsidR="003623A4" w:rsidRDefault="003623A4" w:rsidP="00C12513">
      <w:pPr>
        <w:ind w:left="709" w:hanging="709"/>
        <w:rPr>
          <w:rFonts w:cs="Arial"/>
          <w:b/>
          <w:bCs/>
        </w:rPr>
      </w:pPr>
    </w:p>
    <w:p w:rsidR="003623A4" w:rsidRDefault="003623A4" w:rsidP="00C12513">
      <w:pPr>
        <w:ind w:left="709" w:hanging="709"/>
        <w:rPr>
          <w:rFonts w:cs="Arial"/>
          <w:b/>
          <w:bCs/>
        </w:rPr>
      </w:pPr>
    </w:p>
    <w:p w:rsidR="00C12513" w:rsidRDefault="00C12513" w:rsidP="00C12513">
      <w:pPr>
        <w:ind w:left="709" w:hanging="709"/>
        <w:rPr>
          <w:rFonts w:cs="Arial"/>
          <w:b/>
          <w:bCs/>
        </w:rPr>
      </w:pPr>
      <w:r w:rsidRPr="00A40F8C">
        <w:rPr>
          <w:rFonts w:cs="Arial"/>
          <w:b/>
          <w:bCs/>
        </w:rPr>
        <w:t>Representations and Licensing Sub-Committee Hearings</w:t>
      </w:r>
    </w:p>
    <w:p w:rsidR="00D91471" w:rsidRPr="00A40F8C" w:rsidRDefault="00D91471" w:rsidP="00C12513">
      <w:pPr>
        <w:ind w:left="709" w:hanging="709"/>
        <w:rPr>
          <w:rFonts w:cs="Arial"/>
          <w:b/>
          <w:bCs/>
        </w:rPr>
      </w:pPr>
    </w:p>
    <w:p w:rsidR="00D91471" w:rsidRPr="00D91471" w:rsidRDefault="00D91471" w:rsidP="00D91471">
      <w:pPr>
        <w:pStyle w:val="ListParagraph"/>
        <w:numPr>
          <w:ilvl w:val="0"/>
          <w:numId w:val="39"/>
        </w:numPr>
        <w:autoSpaceDE w:val="0"/>
        <w:autoSpaceDN w:val="0"/>
        <w:adjustRightInd w:val="0"/>
        <w:ind w:left="709" w:hanging="709"/>
        <w:rPr>
          <w:rFonts w:eastAsia="MS Mincho" w:cs="Arial"/>
          <w:kern w:val="28"/>
          <w:lang w:eastAsia="ja-JP"/>
        </w:rPr>
      </w:pPr>
      <w:r>
        <w:rPr>
          <w:rFonts w:eastAsia="MS Mincho" w:cs="Arial"/>
          <w:kern w:val="28"/>
          <w:lang w:eastAsia="ja-JP"/>
        </w:rPr>
        <w:t xml:space="preserve">    </w:t>
      </w:r>
      <w:r w:rsidR="00C12513" w:rsidRPr="00D91471">
        <w:rPr>
          <w:rFonts w:eastAsia="MS Mincho" w:cs="Arial"/>
          <w:kern w:val="28"/>
          <w:lang w:eastAsia="ja-JP"/>
        </w:rPr>
        <w:t>When Relevant Representations are received from Interested Parties or Responsible Authorities then the application is determined at a Licensing Sub-Committee Hearing (save for those received in relation to a Minor Variation application as detailed at Paragraph</w:t>
      </w:r>
      <w:r w:rsidR="00422A47">
        <w:rPr>
          <w:rFonts w:eastAsia="MS Mincho" w:cs="Arial"/>
          <w:kern w:val="28"/>
          <w:lang w:eastAsia="ja-JP"/>
        </w:rPr>
        <w:t xml:space="preserve"> 8</w:t>
      </w:r>
      <w:r w:rsidR="00C12513" w:rsidRPr="00D91471">
        <w:rPr>
          <w:rFonts w:eastAsia="MS Mincho" w:cs="Arial"/>
          <w:kern w:val="28"/>
          <w:lang w:eastAsia="ja-JP"/>
        </w:rPr>
        <w:t xml:space="preserve"> above, and those where the applicant agrees to the conditions and policies requested by Responsible Authorities during the application consultation period).  </w:t>
      </w:r>
    </w:p>
    <w:p w:rsidR="00927C5E" w:rsidRDefault="00927C5E" w:rsidP="00927C5E">
      <w:pPr>
        <w:autoSpaceDE w:val="0"/>
        <w:autoSpaceDN w:val="0"/>
        <w:adjustRightInd w:val="0"/>
        <w:ind w:left="709" w:hanging="709"/>
        <w:rPr>
          <w:rFonts w:eastAsia="MS Mincho" w:cs="Arial"/>
          <w:lang w:eastAsia="ja-JP"/>
        </w:rPr>
      </w:pPr>
    </w:p>
    <w:p w:rsidR="00C12513" w:rsidRDefault="003B093C" w:rsidP="003B093C">
      <w:pPr>
        <w:pStyle w:val="ListParagraph"/>
        <w:numPr>
          <w:ilvl w:val="0"/>
          <w:numId w:val="39"/>
        </w:numPr>
        <w:autoSpaceDE w:val="0"/>
        <w:autoSpaceDN w:val="0"/>
        <w:adjustRightInd w:val="0"/>
        <w:ind w:left="709" w:hanging="709"/>
      </w:pPr>
      <w:r>
        <w:rPr>
          <w:rFonts w:eastAsia="MS Mincho" w:cs="Arial"/>
          <w:lang w:eastAsia="ja-JP"/>
        </w:rPr>
        <w:t xml:space="preserve">    </w:t>
      </w:r>
      <w:r w:rsidR="00C12513" w:rsidRPr="003B093C">
        <w:rPr>
          <w:rFonts w:eastAsia="MS Mincho" w:cs="Arial"/>
          <w:kern w:val="28"/>
          <w:lang w:eastAsia="ja-JP"/>
        </w:rPr>
        <w:t>Representations</w:t>
      </w:r>
      <w:r w:rsidR="00C12513" w:rsidRPr="003B093C">
        <w:rPr>
          <w:rFonts w:eastAsia="MS Mincho" w:cs="Arial"/>
          <w:lang w:eastAsia="ja-JP"/>
        </w:rPr>
        <w:t xml:space="preserve"> were received in respect </w:t>
      </w:r>
      <w:r w:rsidR="00203782">
        <w:rPr>
          <w:rFonts w:eastAsia="MS Mincho" w:cs="Arial"/>
          <w:lang w:eastAsia="ja-JP"/>
        </w:rPr>
        <w:t>of</w:t>
      </w:r>
      <w:r w:rsidR="00C12513" w:rsidRPr="003B093C">
        <w:rPr>
          <w:rFonts w:eastAsia="MS Mincho" w:cs="Arial"/>
          <w:lang w:eastAsia="ja-JP"/>
        </w:rPr>
        <w:t xml:space="preserve"> </w:t>
      </w:r>
      <w:r w:rsidR="00CE4532" w:rsidRPr="00CE4532">
        <w:rPr>
          <w:rFonts w:eastAsia="MS Mincho" w:cs="Arial"/>
          <w:lang w:eastAsia="ja-JP"/>
        </w:rPr>
        <w:t xml:space="preserve">three </w:t>
      </w:r>
      <w:r w:rsidR="00C12513" w:rsidRPr="00CE4532">
        <w:rPr>
          <w:rFonts w:eastAsia="MS Mincho" w:cs="Arial"/>
          <w:lang w:eastAsia="ja-JP"/>
        </w:rPr>
        <w:t>application</w:t>
      </w:r>
      <w:r w:rsidR="00CE4532" w:rsidRPr="00CE4532">
        <w:rPr>
          <w:rFonts w:eastAsia="MS Mincho" w:cs="Arial"/>
          <w:lang w:eastAsia="ja-JP"/>
        </w:rPr>
        <w:t>s</w:t>
      </w:r>
      <w:r w:rsidR="00C12513" w:rsidRPr="003B093C">
        <w:rPr>
          <w:rFonts w:eastAsia="MS Mincho" w:cs="Arial"/>
          <w:lang w:eastAsia="ja-JP"/>
        </w:rPr>
        <w:t>.</w:t>
      </w:r>
      <w:r w:rsidR="00203782">
        <w:rPr>
          <w:rFonts w:eastAsia="MS Mincho" w:cs="Arial"/>
          <w:lang w:eastAsia="ja-JP"/>
        </w:rPr>
        <w:t xml:space="preserve"> </w:t>
      </w:r>
      <w:r w:rsidR="00C12513" w:rsidRPr="003B093C">
        <w:rPr>
          <w:rFonts w:eastAsia="MS Mincho" w:cs="Arial"/>
          <w:lang w:eastAsia="ja-JP"/>
        </w:rPr>
        <w:t xml:space="preserve">The </w:t>
      </w:r>
      <w:r w:rsidR="00203782">
        <w:rPr>
          <w:rFonts w:eastAsia="MS Mincho" w:cs="Arial"/>
          <w:lang w:eastAsia="ja-JP"/>
        </w:rPr>
        <w:t>r</w:t>
      </w:r>
      <w:r w:rsidR="00C12513" w:rsidRPr="003B093C">
        <w:rPr>
          <w:rFonts w:eastAsia="MS Mincho" w:cs="Arial"/>
          <w:lang w:eastAsia="ja-JP"/>
        </w:rPr>
        <w:t>epresentations</w:t>
      </w:r>
      <w:r w:rsidR="00425972">
        <w:rPr>
          <w:rFonts w:eastAsia="MS Mincho" w:cs="Arial"/>
          <w:lang w:eastAsia="ja-JP"/>
        </w:rPr>
        <w:t xml:space="preserve"> </w:t>
      </w:r>
      <w:r w:rsidR="00C12513" w:rsidRPr="003B093C">
        <w:rPr>
          <w:rFonts w:eastAsia="MS Mincho" w:cs="Arial"/>
          <w:lang w:eastAsia="ja-JP"/>
        </w:rPr>
        <w:t>led</w:t>
      </w:r>
      <w:r w:rsidR="00C12513">
        <w:t xml:space="preserve"> to </w:t>
      </w:r>
      <w:r w:rsidR="00203782">
        <w:t xml:space="preserve">a </w:t>
      </w:r>
      <w:r w:rsidR="00C12513">
        <w:t xml:space="preserve">Sub-Committee Hearing being required to determine </w:t>
      </w:r>
      <w:r w:rsidR="00203782">
        <w:t>the</w:t>
      </w:r>
      <w:r w:rsidR="00C12513">
        <w:t xml:space="preserve"> application</w:t>
      </w:r>
      <w:r w:rsidR="00CE4532">
        <w:t>s</w:t>
      </w:r>
      <w:r w:rsidR="00C12513">
        <w:t>.</w:t>
      </w:r>
      <w:r w:rsidR="001671B3">
        <w:t xml:space="preserve"> </w:t>
      </w:r>
    </w:p>
    <w:p w:rsidR="003B093C" w:rsidRPr="003B093C" w:rsidRDefault="003B093C" w:rsidP="003B093C">
      <w:pPr>
        <w:pStyle w:val="ListParagraph"/>
        <w:numPr>
          <w:ilvl w:val="0"/>
          <w:numId w:val="0"/>
        </w:numPr>
        <w:autoSpaceDE w:val="0"/>
        <w:autoSpaceDN w:val="0"/>
        <w:adjustRightInd w:val="0"/>
        <w:ind w:left="540"/>
        <w:rPr>
          <w:rFonts w:ascii="Times New Roman" w:eastAsia="MS Mincho" w:hAnsi="Times New Roman"/>
          <w:lang w:eastAsia="ja-JP"/>
        </w:rPr>
      </w:pPr>
    </w:p>
    <w:p w:rsidR="00C12513" w:rsidRPr="00FE2B78" w:rsidRDefault="00C12513" w:rsidP="00C12513">
      <w:pPr>
        <w:autoSpaceDE w:val="0"/>
        <w:autoSpaceDN w:val="0"/>
        <w:adjustRightInd w:val="0"/>
        <w:ind w:left="709" w:hanging="709"/>
        <w:rPr>
          <w:rFonts w:eastAsia="MS Mincho" w:cs="Arial"/>
          <w:lang w:eastAsia="ja-JP"/>
        </w:rPr>
      </w:pPr>
      <w:r w:rsidRPr="00FE2B78">
        <w:rPr>
          <w:rFonts w:eastAsia="MS Mincho" w:cs="Arial"/>
          <w:lang w:eastAsia="ja-JP"/>
        </w:rPr>
        <w:t>1</w:t>
      </w:r>
      <w:r w:rsidR="003F4086">
        <w:rPr>
          <w:rFonts w:eastAsia="MS Mincho" w:cs="Arial"/>
          <w:lang w:eastAsia="ja-JP"/>
        </w:rPr>
        <w:t>2</w:t>
      </w:r>
      <w:r w:rsidRPr="00FE2B78">
        <w:rPr>
          <w:rFonts w:eastAsia="MS Mincho" w:cs="Arial"/>
          <w:lang w:eastAsia="ja-JP"/>
        </w:rPr>
        <w:t>.</w:t>
      </w:r>
      <w:r w:rsidRPr="00FE2B78">
        <w:rPr>
          <w:rFonts w:eastAsia="MS Mincho" w:cs="Arial"/>
          <w:lang w:eastAsia="ja-JP"/>
        </w:rPr>
        <w:tab/>
        <w:t xml:space="preserve">Representations </w:t>
      </w:r>
      <w:r>
        <w:rPr>
          <w:rFonts w:eastAsia="MS Mincho" w:cs="Arial"/>
          <w:lang w:eastAsia="ja-JP"/>
        </w:rPr>
        <w:t xml:space="preserve">relating to applications made during the reporting period </w:t>
      </w:r>
      <w:r w:rsidRPr="00FE2B78">
        <w:rPr>
          <w:rFonts w:eastAsia="MS Mincho" w:cs="Arial"/>
          <w:lang w:eastAsia="ja-JP"/>
        </w:rPr>
        <w:t>were made as follows</w:t>
      </w:r>
      <w:r>
        <w:rPr>
          <w:rFonts w:eastAsia="MS Mincho" w:cs="Arial"/>
          <w:lang w:eastAsia="ja-JP"/>
        </w:rPr>
        <w:t xml:space="preserve"> and led to the following decisions</w:t>
      </w:r>
      <w:r w:rsidRPr="00FE2B78">
        <w:rPr>
          <w:rFonts w:eastAsia="MS Mincho" w:cs="Arial"/>
          <w:lang w:eastAsia="ja-JP"/>
        </w:rPr>
        <w:t>:</w:t>
      </w:r>
    </w:p>
    <w:p w:rsidR="00C12513" w:rsidRDefault="00C12513" w:rsidP="00C12513">
      <w:pPr>
        <w:autoSpaceDE w:val="0"/>
        <w:autoSpaceDN w:val="0"/>
        <w:adjustRightInd w:val="0"/>
        <w:ind w:left="709" w:hanging="709"/>
        <w:rPr>
          <w:rFonts w:ascii="Times New Roman" w:eastAsia="MS Mincho" w:hAnsi="Times New Roman"/>
          <w:lang w:eastAsia="ja-JP"/>
        </w:rPr>
      </w:pPr>
    </w:p>
    <w:p w:rsidR="00CE4532" w:rsidRPr="00E57152" w:rsidRDefault="00CE4532" w:rsidP="00C12513">
      <w:pPr>
        <w:autoSpaceDE w:val="0"/>
        <w:autoSpaceDN w:val="0"/>
        <w:adjustRightInd w:val="0"/>
        <w:ind w:left="709"/>
        <w:rPr>
          <w:rFonts w:eastAsia="MS Mincho" w:cs="Arial"/>
          <w:b/>
          <w:lang w:eastAsia="ja-JP"/>
        </w:rPr>
      </w:pPr>
      <w:r w:rsidRPr="00E57152">
        <w:rPr>
          <w:rFonts w:eastAsia="MS Mincho" w:cs="Arial"/>
          <w:b/>
          <w:lang w:eastAsia="ja-JP"/>
        </w:rPr>
        <w:t>The Oxford Blue, Marston Street</w:t>
      </w:r>
      <w:r w:rsidR="00C12513" w:rsidRPr="00E57152">
        <w:rPr>
          <w:rFonts w:eastAsia="MS Mincho" w:cs="Arial"/>
          <w:b/>
          <w:lang w:eastAsia="ja-JP"/>
        </w:rPr>
        <w:t>: (New Premises Licence):</w:t>
      </w:r>
    </w:p>
    <w:p w:rsidR="00C12513" w:rsidRPr="00E57152" w:rsidRDefault="00CE4532" w:rsidP="00C12513">
      <w:pPr>
        <w:autoSpaceDE w:val="0"/>
        <w:autoSpaceDN w:val="0"/>
        <w:adjustRightInd w:val="0"/>
        <w:ind w:left="709"/>
        <w:rPr>
          <w:rFonts w:eastAsia="MS Mincho" w:cs="Arial"/>
          <w:lang w:eastAsia="ja-JP"/>
        </w:rPr>
      </w:pPr>
      <w:proofErr w:type="gramStart"/>
      <w:r w:rsidRPr="00E57152">
        <w:rPr>
          <w:rFonts w:eastAsia="MS Mincho" w:cs="Arial"/>
          <w:lang w:eastAsia="ja-JP"/>
        </w:rPr>
        <w:t>8</w:t>
      </w:r>
      <w:r w:rsidR="00E57152" w:rsidRPr="00E57152">
        <w:rPr>
          <w:rFonts w:eastAsia="MS Mincho" w:cs="Arial"/>
          <w:lang w:eastAsia="ja-JP"/>
        </w:rPr>
        <w:t xml:space="preserve"> </w:t>
      </w:r>
      <w:r w:rsidRPr="00E57152">
        <w:rPr>
          <w:rFonts w:eastAsia="MS Mincho" w:cs="Arial"/>
          <w:lang w:eastAsia="ja-JP"/>
        </w:rPr>
        <w:t>x Interested Par</w:t>
      </w:r>
      <w:r w:rsidR="00E57152" w:rsidRPr="00E57152">
        <w:rPr>
          <w:rFonts w:eastAsia="MS Mincho" w:cs="Arial"/>
          <w:lang w:eastAsia="ja-JP"/>
        </w:rPr>
        <w:t xml:space="preserve">ties, </w:t>
      </w:r>
      <w:r w:rsidRPr="00E57152">
        <w:rPr>
          <w:rFonts w:eastAsia="MS Mincho" w:cs="Arial"/>
          <w:lang w:eastAsia="ja-JP"/>
        </w:rPr>
        <w:t>1</w:t>
      </w:r>
      <w:r w:rsidR="00E57152" w:rsidRPr="00E57152">
        <w:rPr>
          <w:rFonts w:eastAsia="MS Mincho" w:cs="Arial"/>
          <w:lang w:eastAsia="ja-JP"/>
        </w:rPr>
        <w:t xml:space="preserve"> </w:t>
      </w:r>
      <w:r w:rsidRPr="00E57152">
        <w:rPr>
          <w:rFonts w:eastAsia="MS Mincho" w:cs="Arial"/>
          <w:lang w:eastAsia="ja-JP"/>
        </w:rPr>
        <w:t>x Responsible Authority</w:t>
      </w:r>
      <w:r w:rsidR="00074FB1" w:rsidRPr="00E57152">
        <w:rPr>
          <w:rFonts w:eastAsia="MS Mincho" w:cs="Arial"/>
          <w:lang w:eastAsia="ja-JP"/>
        </w:rPr>
        <w:t xml:space="preserve"> (Environmental Health).</w:t>
      </w:r>
      <w:proofErr w:type="gramEnd"/>
      <w:r w:rsidR="00C12513" w:rsidRPr="00E57152">
        <w:rPr>
          <w:rFonts w:eastAsia="MS Mincho" w:cs="Arial"/>
          <w:lang w:eastAsia="ja-JP"/>
        </w:rPr>
        <w:t xml:space="preserve"> </w:t>
      </w:r>
      <w:r w:rsidR="00A459B3">
        <w:rPr>
          <w:rFonts w:eastAsia="MS Mincho" w:cs="Arial"/>
          <w:lang w:eastAsia="ja-JP"/>
        </w:rPr>
        <w:t>A</w:t>
      </w:r>
      <w:r w:rsidR="00C12513" w:rsidRPr="00E57152">
        <w:rPr>
          <w:rFonts w:eastAsia="MS Mincho" w:cs="Arial"/>
          <w:lang w:eastAsia="ja-JP"/>
        </w:rPr>
        <w:t>pplication granted as amended by the applicant at the Hearing</w:t>
      </w:r>
      <w:r w:rsidR="00074FB1" w:rsidRPr="00E57152">
        <w:rPr>
          <w:rFonts w:eastAsia="MS Mincho" w:cs="Arial"/>
          <w:lang w:eastAsia="ja-JP"/>
        </w:rPr>
        <w:t xml:space="preserve"> with additional agreed licence conditions.</w:t>
      </w:r>
    </w:p>
    <w:p w:rsidR="00CE4532" w:rsidRPr="00E57152" w:rsidRDefault="00CE4532" w:rsidP="00C12513">
      <w:pPr>
        <w:autoSpaceDE w:val="0"/>
        <w:autoSpaceDN w:val="0"/>
        <w:adjustRightInd w:val="0"/>
        <w:ind w:left="709"/>
        <w:rPr>
          <w:rFonts w:eastAsia="MS Mincho" w:cs="Arial"/>
          <w:b/>
          <w:lang w:eastAsia="ja-JP"/>
        </w:rPr>
      </w:pPr>
    </w:p>
    <w:p w:rsidR="00E57152" w:rsidRPr="00E57152" w:rsidRDefault="00E57152" w:rsidP="00C12513">
      <w:pPr>
        <w:autoSpaceDE w:val="0"/>
        <w:autoSpaceDN w:val="0"/>
        <w:adjustRightInd w:val="0"/>
        <w:ind w:left="709"/>
        <w:rPr>
          <w:rFonts w:eastAsia="MS Mincho" w:cs="Arial"/>
          <w:b/>
          <w:lang w:eastAsia="ja-JP"/>
        </w:rPr>
      </w:pPr>
      <w:r w:rsidRPr="00E57152">
        <w:rPr>
          <w:rFonts w:eastAsia="MS Mincho" w:cs="Arial"/>
          <w:b/>
          <w:lang w:eastAsia="ja-JP"/>
        </w:rPr>
        <w:t>Thirty Eight, South Parade: (Variation to a Premises Licence):</w:t>
      </w:r>
    </w:p>
    <w:p w:rsidR="00E57152" w:rsidRDefault="00E57152" w:rsidP="00E57152">
      <w:pPr>
        <w:autoSpaceDE w:val="0"/>
        <w:autoSpaceDN w:val="0"/>
        <w:adjustRightInd w:val="0"/>
        <w:ind w:left="709"/>
        <w:rPr>
          <w:rFonts w:eastAsia="MS Mincho" w:cs="Arial"/>
          <w:lang w:eastAsia="ja-JP"/>
        </w:rPr>
      </w:pPr>
      <w:proofErr w:type="gramStart"/>
      <w:r w:rsidRPr="00E57152">
        <w:rPr>
          <w:rFonts w:eastAsia="MS Mincho" w:cs="Arial"/>
          <w:lang w:eastAsia="ja-JP"/>
        </w:rPr>
        <w:t>64 x Interested Parties, 2 x Responsible Authorities (Thames Valley Police and Environmental</w:t>
      </w:r>
      <w:r w:rsidR="00A459B3">
        <w:rPr>
          <w:rFonts w:eastAsia="MS Mincho" w:cs="Arial"/>
          <w:lang w:eastAsia="ja-JP"/>
        </w:rPr>
        <w:t xml:space="preserve"> Health).</w:t>
      </w:r>
      <w:proofErr w:type="gramEnd"/>
      <w:r w:rsidR="00A459B3">
        <w:rPr>
          <w:rFonts w:eastAsia="MS Mincho" w:cs="Arial"/>
          <w:lang w:eastAsia="ja-JP"/>
        </w:rPr>
        <w:t xml:space="preserve"> Hearing was deferred, </w:t>
      </w:r>
      <w:r w:rsidRPr="00E57152">
        <w:rPr>
          <w:rFonts w:eastAsia="MS Mincho" w:cs="Arial"/>
          <w:lang w:eastAsia="ja-JP"/>
        </w:rPr>
        <w:t>as Applicant did not attend the hearing. The application was subsequently withdrawn by the Applicant.</w:t>
      </w:r>
    </w:p>
    <w:p w:rsidR="00E57152" w:rsidRDefault="00E57152" w:rsidP="00C12513">
      <w:pPr>
        <w:autoSpaceDE w:val="0"/>
        <w:autoSpaceDN w:val="0"/>
        <w:adjustRightInd w:val="0"/>
        <w:ind w:left="709"/>
        <w:rPr>
          <w:rFonts w:eastAsia="MS Mincho" w:cs="Arial"/>
          <w:b/>
          <w:lang w:eastAsia="ja-JP"/>
        </w:rPr>
      </w:pPr>
    </w:p>
    <w:p w:rsidR="00CE4532" w:rsidRDefault="00E57152" w:rsidP="00C12513">
      <w:pPr>
        <w:autoSpaceDE w:val="0"/>
        <w:autoSpaceDN w:val="0"/>
        <w:adjustRightInd w:val="0"/>
        <w:ind w:left="709"/>
        <w:rPr>
          <w:rFonts w:eastAsia="MS Mincho" w:cs="Arial"/>
          <w:b/>
          <w:lang w:eastAsia="ja-JP"/>
        </w:rPr>
      </w:pPr>
      <w:proofErr w:type="spellStart"/>
      <w:r>
        <w:rPr>
          <w:rFonts w:eastAsia="MS Mincho" w:cs="Arial"/>
          <w:b/>
          <w:lang w:eastAsia="ja-JP"/>
        </w:rPr>
        <w:t>Pepe’s</w:t>
      </w:r>
      <w:proofErr w:type="spellEnd"/>
      <w:r>
        <w:rPr>
          <w:rFonts w:eastAsia="MS Mincho" w:cs="Arial"/>
          <w:b/>
          <w:lang w:eastAsia="ja-JP"/>
        </w:rPr>
        <w:t xml:space="preserve"> </w:t>
      </w:r>
      <w:proofErr w:type="spellStart"/>
      <w:r>
        <w:rPr>
          <w:rFonts w:eastAsia="MS Mincho" w:cs="Arial"/>
          <w:b/>
          <w:lang w:eastAsia="ja-JP"/>
        </w:rPr>
        <w:t>Piri</w:t>
      </w:r>
      <w:proofErr w:type="spellEnd"/>
      <w:r>
        <w:rPr>
          <w:rFonts w:eastAsia="MS Mincho" w:cs="Arial"/>
          <w:b/>
          <w:lang w:eastAsia="ja-JP"/>
        </w:rPr>
        <w:t xml:space="preserve"> </w:t>
      </w:r>
      <w:proofErr w:type="spellStart"/>
      <w:r>
        <w:rPr>
          <w:rFonts w:eastAsia="MS Mincho" w:cs="Arial"/>
          <w:b/>
          <w:lang w:eastAsia="ja-JP"/>
        </w:rPr>
        <w:t>Piri</w:t>
      </w:r>
      <w:proofErr w:type="spellEnd"/>
      <w:r>
        <w:rPr>
          <w:rFonts w:eastAsia="MS Mincho" w:cs="Arial"/>
          <w:b/>
          <w:lang w:eastAsia="ja-JP"/>
        </w:rPr>
        <w:t xml:space="preserve">, </w:t>
      </w:r>
      <w:proofErr w:type="spellStart"/>
      <w:r>
        <w:rPr>
          <w:rFonts w:eastAsia="MS Mincho" w:cs="Arial"/>
          <w:b/>
          <w:lang w:eastAsia="ja-JP"/>
        </w:rPr>
        <w:t>Cowley</w:t>
      </w:r>
      <w:proofErr w:type="spellEnd"/>
      <w:r>
        <w:rPr>
          <w:rFonts w:eastAsia="MS Mincho" w:cs="Arial"/>
          <w:b/>
          <w:lang w:eastAsia="ja-JP"/>
        </w:rPr>
        <w:t xml:space="preserve"> Road: (New Premises Licence):</w:t>
      </w:r>
    </w:p>
    <w:p w:rsidR="00E57152" w:rsidRPr="00E57152" w:rsidRDefault="00E57152" w:rsidP="00E57152">
      <w:pPr>
        <w:autoSpaceDE w:val="0"/>
        <w:autoSpaceDN w:val="0"/>
        <w:adjustRightInd w:val="0"/>
        <w:ind w:left="709"/>
        <w:rPr>
          <w:rFonts w:eastAsia="MS Mincho" w:cs="Arial"/>
          <w:lang w:eastAsia="ja-JP"/>
        </w:rPr>
      </w:pPr>
      <w:proofErr w:type="gramStart"/>
      <w:r>
        <w:rPr>
          <w:rFonts w:eastAsia="MS Mincho" w:cs="Arial"/>
          <w:lang w:eastAsia="ja-JP"/>
        </w:rPr>
        <w:t>4</w:t>
      </w:r>
      <w:r w:rsidRPr="00E57152">
        <w:rPr>
          <w:rFonts w:eastAsia="MS Mincho" w:cs="Arial"/>
          <w:lang w:eastAsia="ja-JP"/>
        </w:rPr>
        <w:t xml:space="preserve"> x Interested Parties, 1 x Responsible Authority (</w:t>
      </w:r>
      <w:r>
        <w:rPr>
          <w:rFonts w:eastAsia="MS Mincho" w:cs="Arial"/>
          <w:lang w:eastAsia="ja-JP"/>
        </w:rPr>
        <w:t>Thames Valley Police</w:t>
      </w:r>
      <w:r w:rsidR="00A459B3">
        <w:rPr>
          <w:rFonts w:eastAsia="MS Mincho" w:cs="Arial"/>
          <w:lang w:eastAsia="ja-JP"/>
        </w:rPr>
        <w:t>).</w:t>
      </w:r>
      <w:proofErr w:type="gramEnd"/>
      <w:r w:rsidR="00A459B3">
        <w:rPr>
          <w:rFonts w:eastAsia="MS Mincho" w:cs="Arial"/>
          <w:lang w:eastAsia="ja-JP"/>
        </w:rPr>
        <w:t xml:space="preserve"> A</w:t>
      </w:r>
      <w:r w:rsidRPr="00E57152">
        <w:rPr>
          <w:rFonts w:eastAsia="MS Mincho" w:cs="Arial"/>
          <w:lang w:eastAsia="ja-JP"/>
        </w:rPr>
        <w:t>pplication granted as amended by the applicant at the Hearing with additional agreed licence conditions</w:t>
      </w:r>
      <w:r>
        <w:rPr>
          <w:rFonts w:eastAsia="MS Mincho" w:cs="Arial"/>
          <w:lang w:eastAsia="ja-JP"/>
        </w:rPr>
        <w:t xml:space="preserve"> and reduced hours</w:t>
      </w:r>
      <w:r w:rsidRPr="00E57152">
        <w:rPr>
          <w:rFonts w:eastAsia="MS Mincho" w:cs="Arial"/>
          <w:lang w:eastAsia="ja-JP"/>
        </w:rPr>
        <w:t>.</w:t>
      </w:r>
    </w:p>
    <w:p w:rsidR="00E57152" w:rsidRPr="00074FB1" w:rsidRDefault="00E57152" w:rsidP="00C12513">
      <w:pPr>
        <w:autoSpaceDE w:val="0"/>
        <w:autoSpaceDN w:val="0"/>
        <w:adjustRightInd w:val="0"/>
        <w:ind w:left="709"/>
        <w:rPr>
          <w:rFonts w:eastAsia="MS Mincho" w:cs="Arial"/>
          <w:b/>
          <w:lang w:eastAsia="ja-JP"/>
        </w:rPr>
      </w:pPr>
    </w:p>
    <w:p w:rsidR="00C12513" w:rsidRPr="00C12513" w:rsidRDefault="00C12513" w:rsidP="00C12513">
      <w:pPr>
        <w:autoSpaceDE w:val="0"/>
        <w:autoSpaceDN w:val="0"/>
        <w:adjustRightInd w:val="0"/>
        <w:ind w:left="540"/>
        <w:rPr>
          <w:rFonts w:eastAsia="MS Mincho" w:cs="Arial"/>
          <w:b/>
          <w:highlight w:val="yellow"/>
          <w:lang w:eastAsia="ja-JP"/>
        </w:rPr>
      </w:pPr>
    </w:p>
    <w:bookmarkEnd w:id="1"/>
    <w:bookmarkEnd w:id="2"/>
    <w:p w:rsidR="00C12513" w:rsidRPr="00AF560D" w:rsidRDefault="00C12513" w:rsidP="00C12513">
      <w:pPr>
        <w:ind w:left="709" w:hanging="709"/>
        <w:rPr>
          <w:rFonts w:cs="Arial"/>
          <w:b/>
          <w:bCs/>
        </w:rPr>
      </w:pPr>
      <w:r w:rsidRPr="00AF560D">
        <w:rPr>
          <w:rFonts w:cs="Arial"/>
          <w:b/>
          <w:bCs/>
        </w:rPr>
        <w:t>Reviews of Licensed Premises</w:t>
      </w:r>
    </w:p>
    <w:p w:rsidR="00C12513" w:rsidRPr="00AF560D" w:rsidRDefault="00C12513" w:rsidP="00C12513">
      <w:pPr>
        <w:ind w:left="709" w:hanging="709"/>
        <w:rPr>
          <w:rFonts w:cs="Arial"/>
          <w:b/>
          <w:bCs/>
          <w:u w:val="single"/>
        </w:rPr>
      </w:pPr>
    </w:p>
    <w:p w:rsidR="00C12513" w:rsidRPr="00AF560D" w:rsidRDefault="00C12513" w:rsidP="00C12513">
      <w:pPr>
        <w:pStyle w:val="BodyText"/>
        <w:ind w:left="709" w:hanging="709"/>
        <w:rPr>
          <w:szCs w:val="24"/>
        </w:rPr>
      </w:pPr>
      <w:r w:rsidRPr="00AF560D">
        <w:rPr>
          <w:szCs w:val="24"/>
        </w:rPr>
        <w:t>1</w:t>
      </w:r>
      <w:r w:rsidR="00D91471">
        <w:rPr>
          <w:szCs w:val="24"/>
        </w:rPr>
        <w:t>3</w:t>
      </w:r>
      <w:r w:rsidRPr="00AF560D">
        <w:rPr>
          <w:szCs w:val="24"/>
        </w:rPr>
        <w:t>.</w:t>
      </w:r>
      <w:r w:rsidRPr="00AF560D">
        <w:rPr>
          <w:szCs w:val="24"/>
        </w:rPr>
        <w:tab/>
        <w:t>Under the 2003 Act it is possible for the Authority to review a Premises Licence at any time if a representation is received from a Responsible Authority or an Interested Party.</w:t>
      </w:r>
      <w:r>
        <w:rPr>
          <w:szCs w:val="24"/>
        </w:rPr>
        <w:t xml:space="preserve"> </w:t>
      </w:r>
      <w:r w:rsidRPr="00AF560D">
        <w:rPr>
          <w:szCs w:val="24"/>
        </w:rPr>
        <w:t>Reviews may only arise in connection with a failure or failures in the premises connected to the licensing objectives.</w:t>
      </w:r>
    </w:p>
    <w:p w:rsidR="00C12513" w:rsidRPr="00AF560D" w:rsidRDefault="00C12513" w:rsidP="00C12513">
      <w:pPr>
        <w:pStyle w:val="BodyText"/>
        <w:ind w:left="709" w:hanging="709"/>
        <w:rPr>
          <w:szCs w:val="24"/>
        </w:rPr>
      </w:pPr>
    </w:p>
    <w:p w:rsidR="00F75796" w:rsidRDefault="00C12513" w:rsidP="00C12513">
      <w:pPr>
        <w:pStyle w:val="BodyText"/>
        <w:ind w:left="709" w:hanging="709"/>
        <w:rPr>
          <w:szCs w:val="24"/>
        </w:rPr>
      </w:pPr>
      <w:r w:rsidRPr="00AF560D">
        <w:rPr>
          <w:szCs w:val="24"/>
        </w:rPr>
        <w:t>1</w:t>
      </w:r>
      <w:r w:rsidR="00D91471">
        <w:rPr>
          <w:szCs w:val="24"/>
        </w:rPr>
        <w:t>4</w:t>
      </w:r>
      <w:r w:rsidRPr="00AF560D">
        <w:rPr>
          <w:szCs w:val="24"/>
        </w:rPr>
        <w:t>.</w:t>
      </w:r>
      <w:r w:rsidRPr="00AF560D">
        <w:rPr>
          <w:szCs w:val="24"/>
        </w:rPr>
        <w:tab/>
      </w:r>
      <w:r>
        <w:rPr>
          <w:szCs w:val="24"/>
        </w:rPr>
        <w:t xml:space="preserve">No applications </w:t>
      </w:r>
      <w:r w:rsidRPr="00AF560D">
        <w:rPr>
          <w:szCs w:val="24"/>
        </w:rPr>
        <w:t xml:space="preserve">for a Premises Licence Review </w:t>
      </w:r>
      <w:r>
        <w:rPr>
          <w:szCs w:val="24"/>
        </w:rPr>
        <w:t>were</w:t>
      </w:r>
      <w:r w:rsidRPr="00AF560D">
        <w:rPr>
          <w:szCs w:val="24"/>
        </w:rPr>
        <w:t xml:space="preserve"> received</w:t>
      </w:r>
      <w:r>
        <w:rPr>
          <w:szCs w:val="24"/>
        </w:rPr>
        <w:t xml:space="preserve"> during this reporting period. </w:t>
      </w:r>
    </w:p>
    <w:p w:rsidR="00C12513" w:rsidRDefault="00C12513" w:rsidP="00C12513">
      <w:pPr>
        <w:pStyle w:val="BodyText"/>
        <w:ind w:left="709" w:hanging="709"/>
        <w:rPr>
          <w:szCs w:val="24"/>
        </w:rPr>
      </w:pPr>
      <w:r>
        <w:rPr>
          <w:szCs w:val="24"/>
        </w:rPr>
        <w:t xml:space="preserve"> </w:t>
      </w:r>
    </w:p>
    <w:p w:rsidR="00C12513" w:rsidRPr="00195C33" w:rsidRDefault="00C12513" w:rsidP="00C12513">
      <w:pPr>
        <w:ind w:left="709" w:hanging="709"/>
        <w:rPr>
          <w:rFonts w:cs="Arial"/>
          <w:b/>
          <w:bCs/>
        </w:rPr>
      </w:pPr>
      <w:bookmarkStart w:id="3" w:name="OLE_LINK6"/>
      <w:bookmarkStart w:id="4" w:name="OLE_LINK7"/>
      <w:r w:rsidRPr="00195C33">
        <w:rPr>
          <w:rFonts w:cs="Arial"/>
          <w:b/>
          <w:bCs/>
        </w:rPr>
        <w:t>Appeals under the Licensing Act 2003</w:t>
      </w:r>
    </w:p>
    <w:p w:rsidR="00C12513" w:rsidRPr="00195C33" w:rsidRDefault="00C12513" w:rsidP="00C12513">
      <w:pPr>
        <w:pStyle w:val="BodyText"/>
        <w:ind w:left="709" w:hanging="709"/>
        <w:rPr>
          <w:kern w:val="0"/>
          <w:szCs w:val="24"/>
        </w:rPr>
      </w:pPr>
    </w:p>
    <w:p w:rsidR="00C12513" w:rsidRDefault="00C12513" w:rsidP="00C12513">
      <w:pPr>
        <w:pStyle w:val="BodyText"/>
        <w:ind w:left="709" w:hanging="709"/>
        <w:rPr>
          <w:szCs w:val="24"/>
        </w:rPr>
      </w:pPr>
      <w:r>
        <w:rPr>
          <w:szCs w:val="24"/>
        </w:rPr>
        <w:t>1</w:t>
      </w:r>
      <w:r w:rsidR="00D91471">
        <w:rPr>
          <w:szCs w:val="24"/>
        </w:rPr>
        <w:t>5</w:t>
      </w:r>
      <w:r>
        <w:rPr>
          <w:szCs w:val="24"/>
        </w:rPr>
        <w:t>.</w:t>
      </w:r>
      <w:r>
        <w:rPr>
          <w:szCs w:val="24"/>
        </w:rPr>
        <w:tab/>
      </w:r>
      <w:r w:rsidRPr="00195C33">
        <w:rPr>
          <w:szCs w:val="24"/>
        </w:rPr>
        <w:t xml:space="preserve">The Licensing Authority </w:t>
      </w:r>
      <w:r>
        <w:rPr>
          <w:szCs w:val="24"/>
        </w:rPr>
        <w:t xml:space="preserve">was not subject to any appeal during the period reported on. </w:t>
      </w:r>
    </w:p>
    <w:p w:rsidR="00C12513" w:rsidRPr="00195C33" w:rsidRDefault="00C12513" w:rsidP="00C12513">
      <w:pPr>
        <w:pStyle w:val="BodyText"/>
        <w:ind w:left="709" w:hanging="709"/>
        <w:rPr>
          <w:szCs w:val="24"/>
        </w:rPr>
      </w:pPr>
    </w:p>
    <w:bookmarkEnd w:id="3"/>
    <w:bookmarkEnd w:id="4"/>
    <w:p w:rsidR="00E57152" w:rsidRDefault="00E57152" w:rsidP="00C12513">
      <w:pPr>
        <w:ind w:left="709" w:hanging="709"/>
        <w:rPr>
          <w:rFonts w:cs="Arial"/>
          <w:b/>
          <w:bCs/>
        </w:rPr>
      </w:pPr>
    </w:p>
    <w:p w:rsidR="00E57152" w:rsidRDefault="00E57152" w:rsidP="00C12513">
      <w:pPr>
        <w:ind w:left="709" w:hanging="709"/>
        <w:rPr>
          <w:rFonts w:cs="Arial"/>
          <w:b/>
          <w:bCs/>
        </w:rPr>
      </w:pPr>
    </w:p>
    <w:p w:rsidR="00C12513" w:rsidRPr="00272A9E" w:rsidRDefault="00C12513" w:rsidP="00C12513">
      <w:pPr>
        <w:ind w:left="709" w:hanging="709"/>
        <w:rPr>
          <w:rFonts w:cs="Arial"/>
          <w:b/>
          <w:bCs/>
        </w:rPr>
      </w:pPr>
      <w:r w:rsidRPr="00272A9E">
        <w:rPr>
          <w:rFonts w:cs="Arial"/>
          <w:b/>
          <w:bCs/>
        </w:rPr>
        <w:lastRenderedPageBreak/>
        <w:t>Enforcement Activity</w:t>
      </w:r>
    </w:p>
    <w:p w:rsidR="00C12513" w:rsidRPr="00272A9E" w:rsidRDefault="00C12513" w:rsidP="00C12513">
      <w:pPr>
        <w:ind w:left="709" w:hanging="709"/>
        <w:rPr>
          <w:rFonts w:cs="Arial"/>
          <w:b/>
          <w:bCs/>
        </w:rPr>
      </w:pPr>
    </w:p>
    <w:p w:rsidR="00C12513" w:rsidRPr="00272A9E" w:rsidRDefault="00C12513" w:rsidP="00C12513">
      <w:pPr>
        <w:pStyle w:val="BodyText"/>
        <w:ind w:left="709" w:hanging="709"/>
        <w:rPr>
          <w:color w:val="000000"/>
          <w:szCs w:val="24"/>
        </w:rPr>
      </w:pPr>
      <w:r>
        <w:rPr>
          <w:color w:val="000000"/>
          <w:szCs w:val="24"/>
        </w:rPr>
        <w:t>1</w:t>
      </w:r>
      <w:r w:rsidR="00D91471">
        <w:rPr>
          <w:color w:val="000000"/>
          <w:szCs w:val="24"/>
        </w:rPr>
        <w:t>6</w:t>
      </w:r>
      <w:r w:rsidRPr="00272A9E">
        <w:rPr>
          <w:color w:val="000000"/>
          <w:szCs w:val="24"/>
        </w:rPr>
        <w:t>.</w:t>
      </w:r>
      <w:r w:rsidRPr="00272A9E">
        <w:rPr>
          <w:color w:val="000000"/>
          <w:szCs w:val="24"/>
        </w:rPr>
        <w:tab/>
        <w:t xml:space="preserve">During the </w:t>
      </w:r>
      <w:r>
        <w:rPr>
          <w:color w:val="000000"/>
          <w:szCs w:val="24"/>
        </w:rPr>
        <w:t>current reporting period</w:t>
      </w:r>
      <w:r w:rsidRPr="00272A9E">
        <w:rPr>
          <w:color w:val="000000"/>
          <w:szCs w:val="24"/>
        </w:rPr>
        <w:t>, the Licensing Team has carried out:</w:t>
      </w:r>
    </w:p>
    <w:p w:rsidR="00C12513" w:rsidRPr="00272A9E" w:rsidRDefault="00C12513" w:rsidP="00C12513">
      <w:pPr>
        <w:ind w:left="720"/>
        <w:rPr>
          <w:rFonts w:cs="Arial"/>
        </w:rPr>
      </w:pPr>
    </w:p>
    <w:p w:rsidR="00163D85" w:rsidRDefault="00E57152" w:rsidP="00163D85">
      <w:pPr>
        <w:numPr>
          <w:ilvl w:val="1"/>
          <w:numId w:val="35"/>
        </w:numPr>
        <w:tabs>
          <w:tab w:val="clear" w:pos="1440"/>
          <w:tab w:val="left" w:pos="1134"/>
        </w:tabs>
        <w:ind w:left="1134" w:hanging="425"/>
        <w:rPr>
          <w:rFonts w:cs="Arial"/>
        </w:rPr>
      </w:pPr>
      <w:r w:rsidRPr="00E57152">
        <w:rPr>
          <w:rFonts w:cs="Arial"/>
        </w:rPr>
        <w:t>6</w:t>
      </w:r>
      <w:r w:rsidR="00163D85" w:rsidRPr="00E57152">
        <w:rPr>
          <w:rFonts w:cs="Arial"/>
        </w:rPr>
        <w:t>9 R</w:t>
      </w:r>
      <w:r w:rsidR="00163D85" w:rsidRPr="00104569">
        <w:rPr>
          <w:rFonts w:cs="Arial"/>
        </w:rPr>
        <w:t xml:space="preserve">outine </w:t>
      </w:r>
      <w:r w:rsidR="00163D85">
        <w:rPr>
          <w:rFonts w:cs="Arial"/>
        </w:rPr>
        <w:t>Day Time Compliance Inspections of Licensed P</w:t>
      </w:r>
      <w:r w:rsidR="00163D85" w:rsidRPr="00104569">
        <w:rPr>
          <w:rFonts w:cs="Arial"/>
        </w:rPr>
        <w:t xml:space="preserve">remises during standard working hours. </w:t>
      </w:r>
    </w:p>
    <w:p w:rsidR="00163D85" w:rsidRDefault="00163D85" w:rsidP="00163D85">
      <w:pPr>
        <w:tabs>
          <w:tab w:val="left" w:pos="1134"/>
        </w:tabs>
        <w:ind w:left="1134"/>
        <w:rPr>
          <w:rFonts w:cs="Arial"/>
        </w:rPr>
      </w:pPr>
    </w:p>
    <w:p w:rsidR="00163D85" w:rsidRPr="00712A0B" w:rsidRDefault="00712A0B" w:rsidP="00163D85">
      <w:pPr>
        <w:tabs>
          <w:tab w:val="left" w:pos="1134"/>
        </w:tabs>
        <w:ind w:left="1134"/>
        <w:rPr>
          <w:rFonts w:cs="Arial"/>
        </w:rPr>
      </w:pPr>
      <w:r w:rsidRPr="00712A0B">
        <w:rPr>
          <w:rFonts w:cs="Arial"/>
        </w:rPr>
        <w:t>24</w:t>
      </w:r>
      <w:r w:rsidR="00163D85" w:rsidRPr="00712A0B">
        <w:rPr>
          <w:rFonts w:cs="Arial"/>
        </w:rPr>
        <w:t xml:space="preserve"> Premises were </w:t>
      </w:r>
      <w:r w:rsidRPr="00712A0B">
        <w:rPr>
          <w:rFonts w:cs="Arial"/>
        </w:rPr>
        <w:t>found to be non-compliant. The 2</w:t>
      </w:r>
      <w:r w:rsidR="00163D85" w:rsidRPr="00712A0B">
        <w:rPr>
          <w:rFonts w:cs="Arial"/>
        </w:rPr>
        <w:t xml:space="preserve">4 issues of non-compliance related to a failure in having the full Premises Licence on site and / or to display the Premises Licence Summary on site. </w:t>
      </w:r>
    </w:p>
    <w:p w:rsidR="00163D85" w:rsidRPr="00104569" w:rsidRDefault="00712A0B" w:rsidP="00163D85">
      <w:pPr>
        <w:tabs>
          <w:tab w:val="left" w:pos="1134"/>
        </w:tabs>
        <w:ind w:left="1134"/>
        <w:rPr>
          <w:rFonts w:cs="Arial"/>
        </w:rPr>
      </w:pPr>
      <w:r w:rsidRPr="00712A0B">
        <w:rPr>
          <w:rFonts w:cs="Arial"/>
        </w:rPr>
        <w:t xml:space="preserve">They also included </w:t>
      </w:r>
      <w:r w:rsidR="00163D85" w:rsidRPr="00712A0B">
        <w:rPr>
          <w:rFonts w:cs="Arial"/>
        </w:rPr>
        <w:t>non-compliance issues related to a failure to ensure that an adequate Age Verification Policy was in plac</w:t>
      </w:r>
      <w:r w:rsidRPr="00712A0B">
        <w:rPr>
          <w:rFonts w:cs="Arial"/>
        </w:rPr>
        <w:t>e at the venue, and failure</w:t>
      </w:r>
      <w:r w:rsidR="00163D85" w:rsidRPr="00712A0B">
        <w:rPr>
          <w:rFonts w:cs="Arial"/>
        </w:rPr>
        <w:t xml:space="preserve"> to provide evidence that “Small Measures” of alcohol could be purchased. Some Premises were referred to other Relevant Authorities for suspected non-compliance (fire hazard).</w:t>
      </w:r>
      <w:r w:rsidR="00163D85">
        <w:rPr>
          <w:rFonts w:cs="Arial"/>
        </w:rPr>
        <w:t xml:space="preserve"> </w:t>
      </w:r>
    </w:p>
    <w:p w:rsidR="00163D85" w:rsidRPr="00104569" w:rsidRDefault="00163D85" w:rsidP="00163D85">
      <w:pPr>
        <w:tabs>
          <w:tab w:val="left" w:pos="1134"/>
        </w:tabs>
        <w:ind w:left="1134" w:hanging="425"/>
        <w:rPr>
          <w:rFonts w:cs="Arial"/>
        </w:rPr>
      </w:pPr>
    </w:p>
    <w:p w:rsidR="00163D85" w:rsidRPr="00104569" w:rsidRDefault="00163D85" w:rsidP="00163D85">
      <w:pPr>
        <w:tabs>
          <w:tab w:val="left" w:pos="1134"/>
        </w:tabs>
        <w:ind w:left="1134" w:hanging="425"/>
        <w:rPr>
          <w:rFonts w:cs="Arial"/>
        </w:rPr>
      </w:pPr>
      <w:r w:rsidRPr="00104569">
        <w:rPr>
          <w:rFonts w:cs="Arial"/>
        </w:rPr>
        <w:tab/>
        <w:t>In all of the above cases Warnings were issued to the Premises Licence Holders.</w:t>
      </w:r>
    </w:p>
    <w:p w:rsidR="00163D85" w:rsidRPr="00AE575A" w:rsidRDefault="00163D85" w:rsidP="00163D85">
      <w:pPr>
        <w:tabs>
          <w:tab w:val="left" w:pos="1134"/>
        </w:tabs>
        <w:ind w:left="1134" w:hanging="425"/>
        <w:rPr>
          <w:rFonts w:cs="Arial"/>
          <w:highlight w:val="yellow"/>
        </w:rPr>
      </w:pPr>
    </w:p>
    <w:p w:rsidR="00163D85" w:rsidRPr="004936D0" w:rsidRDefault="00712A0B" w:rsidP="00163D85">
      <w:pPr>
        <w:numPr>
          <w:ilvl w:val="1"/>
          <w:numId w:val="35"/>
        </w:numPr>
        <w:tabs>
          <w:tab w:val="clear" w:pos="1440"/>
          <w:tab w:val="left" w:pos="1134"/>
        </w:tabs>
        <w:ind w:left="1134" w:hanging="425"/>
        <w:rPr>
          <w:rFonts w:cs="Arial"/>
          <w:b/>
          <w:bCs/>
          <w:u w:val="single"/>
        </w:rPr>
      </w:pPr>
      <w:r>
        <w:rPr>
          <w:rFonts w:cs="Arial"/>
        </w:rPr>
        <w:t>4</w:t>
      </w:r>
      <w:r w:rsidR="00163D85" w:rsidRPr="004936D0">
        <w:rPr>
          <w:rFonts w:cs="Arial"/>
        </w:rPr>
        <w:t xml:space="preserve"> </w:t>
      </w:r>
      <w:r w:rsidR="00163D85">
        <w:rPr>
          <w:rFonts w:cs="Arial"/>
        </w:rPr>
        <w:t xml:space="preserve">Night Time </w:t>
      </w:r>
      <w:r w:rsidR="00163D85" w:rsidRPr="004936D0">
        <w:rPr>
          <w:rFonts w:cs="Arial"/>
        </w:rPr>
        <w:t>Multi-Agency Operations</w:t>
      </w:r>
      <w:r w:rsidR="00163D85">
        <w:rPr>
          <w:rFonts w:cs="Arial"/>
        </w:rPr>
        <w:t xml:space="preserve"> in partnership with Thames Valley Police,</w:t>
      </w:r>
      <w:r w:rsidR="00163D85" w:rsidRPr="004936D0">
        <w:rPr>
          <w:rFonts w:cs="Arial"/>
        </w:rPr>
        <w:t xml:space="preserve"> visiting </w:t>
      </w:r>
      <w:r>
        <w:rPr>
          <w:rFonts w:cs="Arial"/>
        </w:rPr>
        <w:t>30</w:t>
      </w:r>
      <w:r w:rsidR="00163D85">
        <w:rPr>
          <w:rFonts w:cs="Arial"/>
        </w:rPr>
        <w:t xml:space="preserve"> Licensed P</w:t>
      </w:r>
      <w:r w:rsidR="00163D85" w:rsidRPr="004936D0">
        <w:rPr>
          <w:rFonts w:cs="Arial"/>
        </w:rPr>
        <w:t xml:space="preserve">remises (targeted at premises within specific locations that may be of high-risk, have appeared on the Active Casework list, where conditions have been approved to be on the Premises Licence as agreed by a Responsible Authority, or where Immigration Officers have raised concerns). </w:t>
      </w:r>
    </w:p>
    <w:p w:rsidR="00163D85" w:rsidRPr="00AE575A" w:rsidRDefault="00163D85" w:rsidP="00163D85">
      <w:pPr>
        <w:tabs>
          <w:tab w:val="left" w:pos="1134"/>
        </w:tabs>
        <w:ind w:left="1134"/>
        <w:rPr>
          <w:rFonts w:cs="Arial"/>
          <w:highlight w:val="yellow"/>
        </w:rPr>
      </w:pPr>
    </w:p>
    <w:p w:rsidR="00163D85" w:rsidRPr="004936D0" w:rsidRDefault="00712A0B" w:rsidP="00163D85">
      <w:pPr>
        <w:tabs>
          <w:tab w:val="left" w:pos="1134"/>
        </w:tabs>
        <w:ind w:left="1134"/>
        <w:rPr>
          <w:rFonts w:cs="Arial"/>
        </w:rPr>
      </w:pPr>
      <w:r>
        <w:rPr>
          <w:rFonts w:cs="Arial"/>
        </w:rPr>
        <w:t>11</w:t>
      </w:r>
      <w:r w:rsidR="00163D85">
        <w:rPr>
          <w:rFonts w:cs="Arial"/>
        </w:rPr>
        <w:t xml:space="preserve"> </w:t>
      </w:r>
      <w:r w:rsidR="00163D85" w:rsidRPr="004936D0">
        <w:rPr>
          <w:rFonts w:cs="Arial"/>
        </w:rPr>
        <w:t xml:space="preserve">venues were found to be </w:t>
      </w:r>
      <w:r w:rsidR="00163D85">
        <w:rPr>
          <w:rFonts w:cs="Arial"/>
        </w:rPr>
        <w:t>non-</w:t>
      </w:r>
      <w:r w:rsidR="00163D85" w:rsidRPr="004936D0">
        <w:rPr>
          <w:rFonts w:cs="Arial"/>
        </w:rPr>
        <w:t>compliant with the require</w:t>
      </w:r>
      <w:r w:rsidR="00163D85">
        <w:rPr>
          <w:rFonts w:cs="Arial"/>
        </w:rPr>
        <w:t>ments of the Licensing Act 2003 (since rectified).</w:t>
      </w:r>
    </w:p>
    <w:p w:rsidR="00163D85" w:rsidRPr="005432BA" w:rsidRDefault="00163D85" w:rsidP="00AF4D69">
      <w:pPr>
        <w:tabs>
          <w:tab w:val="left" w:pos="1134"/>
        </w:tabs>
        <w:rPr>
          <w:rFonts w:cs="Arial"/>
        </w:rPr>
      </w:pPr>
    </w:p>
    <w:p w:rsidR="00163D85" w:rsidRPr="005432BA" w:rsidRDefault="00584D38" w:rsidP="00163D85">
      <w:pPr>
        <w:numPr>
          <w:ilvl w:val="1"/>
          <w:numId w:val="35"/>
        </w:numPr>
        <w:tabs>
          <w:tab w:val="clear" w:pos="1440"/>
          <w:tab w:val="left" w:pos="1134"/>
        </w:tabs>
        <w:ind w:left="1134" w:hanging="425"/>
        <w:rPr>
          <w:rFonts w:cs="Arial"/>
        </w:rPr>
      </w:pPr>
      <w:r w:rsidRPr="005432BA">
        <w:rPr>
          <w:rFonts w:cs="Arial"/>
        </w:rPr>
        <w:t>1</w:t>
      </w:r>
      <w:r w:rsidR="00163D85" w:rsidRPr="005432BA">
        <w:rPr>
          <w:rFonts w:cs="Arial"/>
        </w:rPr>
        <w:t xml:space="preserve"> Night Time Alcohol Test Purchase Operations in partnership with Thames Valley Police, visiting </w:t>
      </w:r>
      <w:r w:rsidRPr="005432BA">
        <w:rPr>
          <w:rFonts w:cs="Arial"/>
        </w:rPr>
        <w:t>5</w:t>
      </w:r>
      <w:r w:rsidR="00163D85" w:rsidRPr="005432BA">
        <w:rPr>
          <w:rFonts w:cs="Arial"/>
        </w:rPr>
        <w:t xml:space="preserve"> Licensed Premises. </w:t>
      </w:r>
      <w:r w:rsidRPr="005432BA">
        <w:rPr>
          <w:rFonts w:cs="Arial"/>
        </w:rPr>
        <w:t>No premises failed the test purchase on this operation. One</w:t>
      </w:r>
      <w:r w:rsidR="00163D85" w:rsidRPr="005432BA">
        <w:rPr>
          <w:rFonts w:cs="Arial"/>
        </w:rPr>
        <w:t xml:space="preserve"> planned </w:t>
      </w:r>
      <w:r w:rsidRPr="005432BA">
        <w:rPr>
          <w:rFonts w:cs="Arial"/>
        </w:rPr>
        <w:t>Alcohol Test Purchase Operation</w:t>
      </w:r>
      <w:r w:rsidR="00163D85" w:rsidRPr="005432BA">
        <w:rPr>
          <w:rFonts w:cs="Arial"/>
        </w:rPr>
        <w:t xml:space="preserve"> (during evening time) also had to be cancelled due to a lack of available Police resources.</w:t>
      </w:r>
    </w:p>
    <w:p w:rsidR="00163D85" w:rsidRPr="00AE575A" w:rsidRDefault="00163D85" w:rsidP="00163D85">
      <w:pPr>
        <w:tabs>
          <w:tab w:val="left" w:pos="1134"/>
        </w:tabs>
        <w:ind w:left="1134"/>
        <w:rPr>
          <w:rFonts w:cs="Arial"/>
          <w:b/>
          <w:bCs/>
          <w:highlight w:val="yellow"/>
          <w:u w:val="single"/>
        </w:rPr>
      </w:pPr>
    </w:p>
    <w:p w:rsidR="00163D85" w:rsidRPr="00AF4D69" w:rsidRDefault="00163D85" w:rsidP="00163D85">
      <w:pPr>
        <w:numPr>
          <w:ilvl w:val="1"/>
          <w:numId w:val="35"/>
        </w:numPr>
        <w:tabs>
          <w:tab w:val="clear" w:pos="1440"/>
          <w:tab w:val="num" w:pos="1134"/>
        </w:tabs>
        <w:ind w:left="1134" w:hanging="425"/>
        <w:rPr>
          <w:rFonts w:cs="Arial"/>
          <w:b/>
          <w:bCs/>
          <w:u w:val="single"/>
        </w:rPr>
      </w:pPr>
      <w:r w:rsidRPr="00AF4D69">
        <w:rPr>
          <w:rFonts w:cs="Arial"/>
        </w:rPr>
        <w:t xml:space="preserve">3 “High-Visibility” Operations during Common People (two days) and Cowley Road Carnival were also conducted. A number of the premises were visited more than once due to the nature of their business and the need for the Licensing Authority to ensure a visible yet proportionate approach to ensuring consistency with compliance requirements. </w:t>
      </w:r>
    </w:p>
    <w:p w:rsidR="00163D85" w:rsidRPr="00AE575A" w:rsidRDefault="00163D85" w:rsidP="00163D85">
      <w:pPr>
        <w:pStyle w:val="ListParagraph"/>
        <w:numPr>
          <w:ilvl w:val="0"/>
          <w:numId w:val="0"/>
        </w:numPr>
        <w:ind w:left="1134"/>
        <w:rPr>
          <w:rFonts w:cs="Arial"/>
          <w:highlight w:val="yellow"/>
        </w:rPr>
      </w:pPr>
    </w:p>
    <w:p w:rsidR="00163D85" w:rsidRPr="00AF4D69" w:rsidRDefault="00163D85" w:rsidP="00AF4D69">
      <w:pPr>
        <w:tabs>
          <w:tab w:val="num" w:pos="1134"/>
        </w:tabs>
        <w:ind w:left="1134" w:hanging="425"/>
        <w:rPr>
          <w:rFonts w:cs="Arial"/>
          <w:highlight w:val="yellow"/>
        </w:rPr>
      </w:pPr>
      <w:r w:rsidRPr="00450000">
        <w:rPr>
          <w:rFonts w:cs="Arial"/>
        </w:rPr>
        <w:tab/>
      </w:r>
      <w:r w:rsidR="003E70CB">
        <w:rPr>
          <w:rFonts w:cs="Arial"/>
        </w:rPr>
        <w:t>7</w:t>
      </w:r>
      <w:r w:rsidRPr="003E70CB">
        <w:rPr>
          <w:rFonts w:cs="Arial"/>
        </w:rPr>
        <w:t xml:space="preserve"> venues were found to be non-compliant (during Cowley Road Carnival) with their Premises Licences and were provided with verbal advice by the Licensing Officers as to how to rectify issues of non-compliance.</w:t>
      </w:r>
      <w:r w:rsidRPr="003E70CB">
        <w:rPr>
          <w:rFonts w:cs="Arial"/>
        </w:rPr>
        <w:tab/>
      </w:r>
    </w:p>
    <w:p w:rsidR="00C12513" w:rsidRPr="000248DC" w:rsidRDefault="00C12513" w:rsidP="002E59CF">
      <w:pPr>
        <w:pStyle w:val="ListParagraph"/>
        <w:numPr>
          <w:ilvl w:val="0"/>
          <w:numId w:val="0"/>
        </w:numPr>
        <w:ind w:left="1134"/>
        <w:rPr>
          <w:rFonts w:cs="Arial"/>
          <w:b/>
          <w:bCs/>
          <w:highlight w:val="yellow"/>
          <w:u w:val="single"/>
        </w:rPr>
      </w:pPr>
    </w:p>
    <w:p w:rsidR="00C12513" w:rsidRPr="00272A9E" w:rsidRDefault="00C12513" w:rsidP="00C12513">
      <w:pPr>
        <w:tabs>
          <w:tab w:val="left" w:pos="900"/>
        </w:tabs>
        <w:ind w:left="709" w:hanging="709"/>
        <w:rPr>
          <w:rFonts w:cs="Arial"/>
          <w:b/>
          <w:bCs/>
          <w:u w:val="single"/>
        </w:rPr>
      </w:pPr>
      <w:r>
        <w:rPr>
          <w:rFonts w:cs="Arial"/>
        </w:rPr>
        <w:t>1</w:t>
      </w:r>
      <w:r w:rsidR="00D91471">
        <w:rPr>
          <w:rFonts w:cs="Arial"/>
        </w:rPr>
        <w:t>7</w:t>
      </w:r>
      <w:r w:rsidRPr="00272A9E">
        <w:rPr>
          <w:rFonts w:cs="Arial"/>
        </w:rPr>
        <w:t>.</w:t>
      </w:r>
      <w:r w:rsidRPr="00272A9E">
        <w:rPr>
          <w:rFonts w:cs="Arial"/>
        </w:rPr>
        <w:tab/>
        <w:t xml:space="preserve">The objectives of the pro-active compliance checks, and the late night enforcement inspections, </w:t>
      </w:r>
      <w:r>
        <w:rPr>
          <w:rFonts w:cs="Arial"/>
        </w:rPr>
        <w:t>are</w:t>
      </w:r>
      <w:r w:rsidRPr="00272A9E">
        <w:rPr>
          <w:rFonts w:cs="Arial"/>
        </w:rPr>
        <w:t xml:space="preserve"> to ensure that the Authority has a keen eye on how the licensed trade upholds the licensing objectives, to record the actions of the Authority in a transparent manner, to place on record that enforcement actions had been undertaken and advice given to resolve any issues of non-compliance, and to build and maintain a productive relationship with licence holders.</w:t>
      </w:r>
    </w:p>
    <w:p w:rsidR="002E59CF" w:rsidRDefault="002E59CF" w:rsidP="00C12513">
      <w:pPr>
        <w:tabs>
          <w:tab w:val="left" w:pos="900"/>
        </w:tabs>
        <w:ind w:left="709" w:hanging="709"/>
        <w:rPr>
          <w:rFonts w:cs="Arial"/>
        </w:rPr>
      </w:pPr>
    </w:p>
    <w:p w:rsidR="00C12513" w:rsidRDefault="00D91471" w:rsidP="00C12513">
      <w:pPr>
        <w:tabs>
          <w:tab w:val="left" w:pos="900"/>
        </w:tabs>
        <w:ind w:left="709" w:hanging="709"/>
        <w:rPr>
          <w:rFonts w:cs="Arial"/>
        </w:rPr>
      </w:pPr>
      <w:r>
        <w:rPr>
          <w:rFonts w:cs="Arial"/>
        </w:rPr>
        <w:lastRenderedPageBreak/>
        <w:t>18</w:t>
      </w:r>
      <w:r w:rsidR="00C12513" w:rsidRPr="00221995">
        <w:rPr>
          <w:rFonts w:cs="Arial"/>
        </w:rPr>
        <w:t>.</w:t>
      </w:r>
      <w:r w:rsidR="00C12513" w:rsidRPr="00221995">
        <w:rPr>
          <w:rFonts w:cs="Arial"/>
        </w:rPr>
        <w:tab/>
        <w:t xml:space="preserve">In </w:t>
      </w:r>
      <w:r w:rsidR="00C12513" w:rsidRPr="005432BA">
        <w:rPr>
          <w:rFonts w:cs="Arial"/>
        </w:rPr>
        <w:t xml:space="preserve">total </w:t>
      </w:r>
      <w:r w:rsidR="005432BA" w:rsidRPr="005432BA">
        <w:rPr>
          <w:rFonts w:cs="Arial"/>
        </w:rPr>
        <w:t>36 Warnings</w:t>
      </w:r>
      <w:r w:rsidR="005432BA">
        <w:rPr>
          <w:rFonts w:cs="Arial"/>
        </w:rPr>
        <w:t xml:space="preserve"> </w:t>
      </w:r>
      <w:r w:rsidR="00C12513" w:rsidRPr="006F58C2">
        <w:rPr>
          <w:rFonts w:cs="Arial"/>
        </w:rPr>
        <w:t xml:space="preserve">were issued to the premises who failed to comply with the necessary regulations during either the normal working hours or non-standard </w:t>
      </w:r>
      <w:proofErr w:type="gramStart"/>
      <w:r w:rsidR="00C12513" w:rsidRPr="006F58C2">
        <w:rPr>
          <w:rFonts w:cs="Arial"/>
        </w:rPr>
        <w:t>hours</w:t>
      </w:r>
      <w:proofErr w:type="gramEnd"/>
      <w:r w:rsidR="00C12513" w:rsidRPr="006F58C2">
        <w:rPr>
          <w:rFonts w:cs="Arial"/>
        </w:rPr>
        <w:t xml:space="preserve"> operations, or had not paid the required annual fee.</w:t>
      </w:r>
    </w:p>
    <w:p w:rsidR="002E59CF" w:rsidRPr="00272A9E" w:rsidRDefault="002E59CF" w:rsidP="00C12513">
      <w:pPr>
        <w:tabs>
          <w:tab w:val="left" w:pos="900"/>
        </w:tabs>
        <w:ind w:left="709" w:hanging="709"/>
        <w:rPr>
          <w:rFonts w:cs="Arial"/>
        </w:rPr>
      </w:pPr>
    </w:p>
    <w:p w:rsidR="00C12513" w:rsidRPr="00272A9E" w:rsidRDefault="00D91471" w:rsidP="00D91471">
      <w:pPr>
        <w:tabs>
          <w:tab w:val="left" w:pos="567"/>
        </w:tabs>
        <w:ind w:left="709" w:hanging="709"/>
        <w:rPr>
          <w:rFonts w:cs="Arial"/>
          <w:b/>
          <w:bCs/>
          <w:u w:val="single"/>
        </w:rPr>
      </w:pPr>
      <w:r>
        <w:rPr>
          <w:rFonts w:cs="Arial"/>
        </w:rPr>
        <w:t>19.</w:t>
      </w:r>
      <w:r w:rsidR="00C12513">
        <w:rPr>
          <w:rFonts w:cs="Arial"/>
        </w:rPr>
        <w:t xml:space="preserve">  </w:t>
      </w:r>
      <w:r>
        <w:rPr>
          <w:rFonts w:cs="Arial"/>
        </w:rPr>
        <w:t xml:space="preserve">    </w:t>
      </w:r>
      <w:r w:rsidR="00C12513" w:rsidRPr="00272A9E">
        <w:rPr>
          <w:rFonts w:cs="Arial"/>
        </w:rPr>
        <w:t xml:space="preserve">All of the premises issued with advice or Warnings have since complied with the requirements of the Licensing Act 2003. Should further failures to comply with the necessary requirements occur further enforcement action may be taken by both the Licensing Authority and Responsible Authorities that may include applying for a Review of the licence and / or prosecution of the licence </w:t>
      </w:r>
      <w:proofErr w:type="gramStart"/>
      <w:r w:rsidR="00C12513" w:rsidRPr="00272A9E">
        <w:rPr>
          <w:rFonts w:cs="Arial"/>
        </w:rPr>
        <w:t>holder.</w:t>
      </w:r>
      <w:proofErr w:type="gramEnd"/>
    </w:p>
    <w:p w:rsidR="00C12513" w:rsidRPr="00272A9E" w:rsidRDefault="00C12513" w:rsidP="00C12513">
      <w:pPr>
        <w:tabs>
          <w:tab w:val="left" w:pos="567"/>
        </w:tabs>
        <w:ind w:left="709" w:hanging="709"/>
        <w:rPr>
          <w:rFonts w:cs="Arial"/>
          <w:b/>
          <w:bCs/>
          <w:u w:val="single"/>
        </w:rPr>
      </w:pPr>
    </w:p>
    <w:p w:rsidR="00C12513" w:rsidRPr="00272A9E" w:rsidRDefault="002E59CF" w:rsidP="002E59CF">
      <w:pPr>
        <w:tabs>
          <w:tab w:val="left" w:pos="709"/>
        </w:tabs>
        <w:ind w:left="709" w:hanging="709"/>
        <w:rPr>
          <w:rFonts w:cs="Arial"/>
          <w:b/>
          <w:bCs/>
          <w:u w:val="single"/>
        </w:rPr>
      </w:pPr>
      <w:r>
        <w:t>20.</w:t>
      </w:r>
      <w:r w:rsidR="00C12513">
        <w:t xml:space="preserve">  </w:t>
      </w:r>
      <w:r>
        <w:t xml:space="preserve">   </w:t>
      </w:r>
      <w:r w:rsidR="00C12513" w:rsidRPr="00272A9E">
        <w:t xml:space="preserve">The Weekend Night-time Operation </w:t>
      </w:r>
      <w:r w:rsidR="00421A73">
        <w:t>carried</w:t>
      </w:r>
      <w:r w:rsidR="00C12513" w:rsidRPr="00272A9E">
        <w:t xml:space="preserve"> </w:t>
      </w:r>
      <w:r w:rsidR="00421A73">
        <w:t xml:space="preserve">out </w:t>
      </w:r>
      <w:r w:rsidR="00C12513" w:rsidRPr="00272A9E">
        <w:t xml:space="preserve">by the </w:t>
      </w:r>
      <w:r w:rsidR="00C12513">
        <w:t xml:space="preserve">Community Safety </w:t>
      </w:r>
      <w:r w:rsidR="00C12513" w:rsidRPr="00272A9E">
        <w:t xml:space="preserve">Service </w:t>
      </w:r>
      <w:r w:rsidR="00C12513">
        <w:t xml:space="preserve">Area </w:t>
      </w:r>
      <w:r w:rsidR="00C12513" w:rsidRPr="00272A9E">
        <w:t xml:space="preserve">continues to operate between 11.00 p.m. and 4.00 a.m. on both Friday and Saturday nights and proactively checks for noise related problems at venues holding Temporary Event Notices and other events such as College Balls. </w:t>
      </w:r>
    </w:p>
    <w:p w:rsidR="00C12513" w:rsidRPr="00272A9E" w:rsidRDefault="00C12513" w:rsidP="002E59CF">
      <w:pPr>
        <w:pStyle w:val="ListParagraph"/>
        <w:numPr>
          <w:ilvl w:val="0"/>
          <w:numId w:val="0"/>
        </w:numPr>
        <w:ind w:left="709"/>
      </w:pPr>
    </w:p>
    <w:p w:rsidR="00C12513" w:rsidRPr="00272A9E" w:rsidRDefault="00C12513" w:rsidP="00C12513">
      <w:pPr>
        <w:numPr>
          <w:ilvl w:val="0"/>
          <w:numId w:val="38"/>
        </w:numPr>
        <w:tabs>
          <w:tab w:val="left" w:pos="567"/>
        </w:tabs>
        <w:ind w:left="709" w:hanging="709"/>
        <w:rPr>
          <w:rFonts w:cs="Arial"/>
          <w:b/>
          <w:bCs/>
          <w:u w:val="single"/>
        </w:rPr>
      </w:pPr>
      <w:r>
        <w:t xml:space="preserve">  </w:t>
      </w:r>
      <w:r w:rsidRPr="00272A9E">
        <w:t xml:space="preserve">The Operation also monitors how licensed premises manage the dispersal of the public from their venues and provides feedback to the Licensing Authority in order that the appropriate actions are undertaken.  </w:t>
      </w:r>
    </w:p>
    <w:p w:rsidR="00C12513" w:rsidRPr="00C95B50" w:rsidRDefault="00C12513" w:rsidP="00C12513">
      <w:pPr>
        <w:tabs>
          <w:tab w:val="left" w:pos="900"/>
        </w:tabs>
        <w:ind w:left="709" w:hanging="709"/>
        <w:rPr>
          <w:rFonts w:cs="Arial"/>
          <w:b/>
          <w:highlight w:val="yellow"/>
        </w:rPr>
      </w:pPr>
    </w:p>
    <w:p w:rsidR="00C12513" w:rsidRPr="00272A9E" w:rsidRDefault="00C12513" w:rsidP="00C12513">
      <w:pPr>
        <w:tabs>
          <w:tab w:val="left" w:pos="900"/>
        </w:tabs>
        <w:ind w:left="709" w:hanging="709"/>
        <w:rPr>
          <w:rFonts w:cs="Arial"/>
          <w:b/>
        </w:rPr>
      </w:pPr>
      <w:r w:rsidRPr="00272A9E">
        <w:rPr>
          <w:rFonts w:cs="Arial"/>
          <w:b/>
        </w:rPr>
        <w:t>Service Requests</w:t>
      </w:r>
    </w:p>
    <w:p w:rsidR="00C12513" w:rsidRPr="00272A9E" w:rsidRDefault="00C12513" w:rsidP="00C12513">
      <w:pPr>
        <w:tabs>
          <w:tab w:val="left" w:pos="900"/>
        </w:tabs>
        <w:ind w:left="709" w:hanging="709"/>
        <w:rPr>
          <w:rFonts w:cs="Arial"/>
        </w:rPr>
      </w:pPr>
    </w:p>
    <w:p w:rsidR="00C12513" w:rsidRPr="00272A9E" w:rsidRDefault="00C12513" w:rsidP="00C12513">
      <w:pPr>
        <w:numPr>
          <w:ilvl w:val="0"/>
          <w:numId w:val="38"/>
        </w:numPr>
        <w:tabs>
          <w:tab w:val="left" w:pos="567"/>
        </w:tabs>
        <w:ind w:left="709" w:hanging="709"/>
        <w:rPr>
          <w:rFonts w:cs="Arial"/>
        </w:rPr>
      </w:pPr>
      <w:r>
        <w:rPr>
          <w:rFonts w:cs="Arial"/>
        </w:rPr>
        <w:t xml:space="preserve">  </w:t>
      </w:r>
      <w:r w:rsidRPr="00272A9E">
        <w:rPr>
          <w:rFonts w:cs="Arial"/>
        </w:rPr>
        <w:t>In addition to the pro-active enforcement, service requests were received by the Licensing Authority from members of the public, or referred to the Authority by the Responsible Authorities, or witnessed by Council Officers on duty with the “Out-of-Hours” Service (having been tasked by the Licensing Team Leader to monitor various establishments). Most related to a variety of failures to uphold the licensing objectives most notably the prevention of public nuisance and the prevention of crime and disorder.</w:t>
      </w:r>
    </w:p>
    <w:p w:rsidR="00C12513" w:rsidRPr="00272A9E" w:rsidRDefault="00C12513" w:rsidP="00C12513">
      <w:pPr>
        <w:tabs>
          <w:tab w:val="left" w:pos="567"/>
        </w:tabs>
        <w:ind w:left="709" w:hanging="709"/>
        <w:rPr>
          <w:rFonts w:cs="Arial"/>
        </w:rPr>
      </w:pPr>
    </w:p>
    <w:p w:rsidR="00C12513" w:rsidRPr="00E80717" w:rsidRDefault="00C12513" w:rsidP="00C12513">
      <w:pPr>
        <w:numPr>
          <w:ilvl w:val="0"/>
          <w:numId w:val="38"/>
        </w:numPr>
        <w:tabs>
          <w:tab w:val="left" w:pos="567"/>
        </w:tabs>
        <w:ind w:left="709" w:hanging="709"/>
        <w:rPr>
          <w:rFonts w:cs="Arial"/>
        </w:rPr>
      </w:pPr>
      <w:r>
        <w:rPr>
          <w:rFonts w:cs="Arial"/>
        </w:rPr>
        <w:t xml:space="preserve">  </w:t>
      </w:r>
      <w:r w:rsidRPr="00E80717">
        <w:rPr>
          <w:rFonts w:cs="Arial"/>
        </w:rPr>
        <w:t xml:space="preserve">This reactive work resulted in a further </w:t>
      </w:r>
      <w:r w:rsidR="00C85255" w:rsidRPr="00C85255">
        <w:rPr>
          <w:rFonts w:cs="Arial"/>
        </w:rPr>
        <w:t>13</w:t>
      </w:r>
      <w:r w:rsidRPr="00C85255">
        <w:rPr>
          <w:rFonts w:cs="Arial"/>
        </w:rPr>
        <w:t xml:space="preserve"> additional Warnings</w:t>
      </w:r>
      <w:r w:rsidRPr="00E80717">
        <w:rPr>
          <w:rFonts w:cs="Arial"/>
        </w:rPr>
        <w:t xml:space="preserve"> being issued, in the cases where the premises that were of specific concern multiple letters were issued including to their legal representatives. </w:t>
      </w:r>
    </w:p>
    <w:p w:rsidR="00C12513" w:rsidRPr="00C12513" w:rsidRDefault="00C12513" w:rsidP="00C12513">
      <w:pPr>
        <w:rPr>
          <w:rFonts w:cs="Arial"/>
        </w:rPr>
      </w:pPr>
    </w:p>
    <w:p w:rsidR="00C12513" w:rsidRDefault="00C12513" w:rsidP="00C12513">
      <w:pPr>
        <w:numPr>
          <w:ilvl w:val="0"/>
          <w:numId w:val="38"/>
        </w:numPr>
        <w:tabs>
          <w:tab w:val="left" w:pos="567"/>
        </w:tabs>
        <w:ind w:left="709" w:hanging="709"/>
        <w:rPr>
          <w:rFonts w:cs="Arial"/>
        </w:rPr>
      </w:pPr>
      <w:r>
        <w:rPr>
          <w:rFonts w:cs="Arial"/>
        </w:rPr>
        <w:t xml:space="preserve">  The Licensing Team dealt with </w:t>
      </w:r>
      <w:r w:rsidR="00C85255">
        <w:rPr>
          <w:rFonts w:cs="Arial"/>
        </w:rPr>
        <w:t xml:space="preserve">over </w:t>
      </w:r>
      <w:r w:rsidR="00C85255" w:rsidRPr="00C85255">
        <w:rPr>
          <w:rFonts w:cs="Arial"/>
        </w:rPr>
        <w:t>5000</w:t>
      </w:r>
      <w:r w:rsidRPr="00C85255">
        <w:rPr>
          <w:rFonts w:cs="Arial"/>
        </w:rPr>
        <w:t xml:space="preserve"> licensing enquiries during the reporting period by way of telephone calls, emails, letters and face-to-face</w:t>
      </w:r>
      <w:r>
        <w:rPr>
          <w:rFonts w:cs="Arial"/>
        </w:rPr>
        <w:t xml:space="preserve"> customer meetings.</w:t>
      </w:r>
    </w:p>
    <w:p w:rsidR="00C12513" w:rsidRPr="00C12513" w:rsidRDefault="00C12513" w:rsidP="00C12513">
      <w:pPr>
        <w:rPr>
          <w:rFonts w:cs="Arial"/>
        </w:rPr>
      </w:pPr>
    </w:p>
    <w:p w:rsidR="00C12513" w:rsidRPr="009C584F" w:rsidRDefault="00C12513" w:rsidP="00C12513">
      <w:pPr>
        <w:tabs>
          <w:tab w:val="left" w:pos="900"/>
        </w:tabs>
        <w:ind w:left="709" w:hanging="709"/>
        <w:rPr>
          <w:rFonts w:cs="Arial"/>
          <w:b/>
        </w:rPr>
      </w:pPr>
      <w:r w:rsidRPr="009C584F">
        <w:rPr>
          <w:rFonts w:cs="Arial"/>
          <w:b/>
        </w:rPr>
        <w:t>P</w:t>
      </w:r>
      <w:r>
        <w:rPr>
          <w:rFonts w:cs="Arial"/>
          <w:b/>
        </w:rPr>
        <w:t>rosecutions</w:t>
      </w:r>
    </w:p>
    <w:p w:rsidR="00C12513" w:rsidRPr="009C584F" w:rsidRDefault="00C12513" w:rsidP="00C12513">
      <w:pPr>
        <w:tabs>
          <w:tab w:val="left" w:pos="900"/>
        </w:tabs>
        <w:ind w:left="709" w:hanging="709"/>
        <w:rPr>
          <w:rFonts w:cs="Arial"/>
        </w:rPr>
      </w:pPr>
    </w:p>
    <w:p w:rsidR="00C12513" w:rsidRPr="009C584F" w:rsidRDefault="00C12513" w:rsidP="00C12513">
      <w:pPr>
        <w:pStyle w:val="BodyText"/>
        <w:ind w:left="709" w:hanging="709"/>
      </w:pPr>
      <w:r>
        <w:t>2</w:t>
      </w:r>
      <w:r w:rsidR="002E59CF">
        <w:t>5</w:t>
      </w:r>
      <w:r w:rsidRPr="009C584F">
        <w:t>.</w:t>
      </w:r>
      <w:r w:rsidRPr="009C584F">
        <w:tab/>
        <w:t>PACE (Police and Criminal Evidence Act) interviews are conducted when investigating failures by the Premises Licence holder</w:t>
      </w:r>
      <w:r w:rsidR="005B242F">
        <w:t xml:space="preserve"> </w:t>
      </w:r>
      <w:r w:rsidRPr="009C584F">
        <w:t xml:space="preserve">or Designated Premises Supervisor to adequately uphold conditions of the Premises Licence. They are also held when any offence is witnessed by a Licensing Officer that warrants such an intervention. </w:t>
      </w:r>
    </w:p>
    <w:p w:rsidR="00AF4D69" w:rsidRPr="009C584F" w:rsidRDefault="00AF4D69" w:rsidP="00C12513">
      <w:pPr>
        <w:pStyle w:val="BodyText"/>
        <w:ind w:left="709" w:hanging="709"/>
      </w:pPr>
    </w:p>
    <w:p w:rsidR="00C12513" w:rsidRDefault="00C12513" w:rsidP="00C12513">
      <w:pPr>
        <w:pStyle w:val="BodyText"/>
        <w:ind w:left="709" w:hanging="709"/>
      </w:pPr>
      <w:r>
        <w:t>2</w:t>
      </w:r>
      <w:r w:rsidR="002E59CF">
        <w:t>6</w:t>
      </w:r>
      <w:r w:rsidRPr="009C584F">
        <w:t>.</w:t>
      </w:r>
      <w:r w:rsidRPr="009C584F">
        <w:tab/>
      </w:r>
      <w:r w:rsidRPr="00C85255">
        <w:t>The Licensing Authority had no reason to initiate any PACE interviews during the reporting period.</w:t>
      </w:r>
      <w:r w:rsidRPr="009C584F">
        <w:t xml:space="preserve"> </w:t>
      </w:r>
    </w:p>
    <w:p w:rsidR="00C12513" w:rsidRDefault="00C12513" w:rsidP="00C12513">
      <w:pPr>
        <w:pStyle w:val="BodyText"/>
        <w:ind w:left="709" w:hanging="709"/>
      </w:pPr>
    </w:p>
    <w:p w:rsidR="00C85255" w:rsidRDefault="00C85255" w:rsidP="00C12513">
      <w:pPr>
        <w:pStyle w:val="BodyText"/>
        <w:ind w:left="709" w:hanging="709"/>
      </w:pPr>
    </w:p>
    <w:p w:rsidR="00C85255" w:rsidRDefault="00C85255" w:rsidP="00C12513">
      <w:pPr>
        <w:pStyle w:val="BodyText"/>
        <w:ind w:left="709" w:hanging="709"/>
      </w:pPr>
    </w:p>
    <w:p w:rsidR="00421A73" w:rsidRDefault="00421A73" w:rsidP="00C12513">
      <w:pPr>
        <w:pStyle w:val="BodyText"/>
        <w:ind w:left="709" w:hanging="709"/>
      </w:pPr>
    </w:p>
    <w:p w:rsidR="00C85255" w:rsidRDefault="00C85255" w:rsidP="00C12513">
      <w:pPr>
        <w:pStyle w:val="BodyText"/>
        <w:ind w:left="709" w:hanging="709"/>
      </w:pPr>
    </w:p>
    <w:p w:rsidR="00C12513" w:rsidRPr="00F11468" w:rsidRDefault="00C12513" w:rsidP="00C12513">
      <w:pPr>
        <w:pStyle w:val="BodyText"/>
        <w:ind w:left="709" w:hanging="709"/>
        <w:rPr>
          <w:b/>
          <w:szCs w:val="24"/>
        </w:rPr>
      </w:pPr>
      <w:r w:rsidRPr="00F11468">
        <w:rPr>
          <w:b/>
          <w:szCs w:val="24"/>
        </w:rPr>
        <w:lastRenderedPageBreak/>
        <w:t>Future Work</w:t>
      </w:r>
      <w:r>
        <w:rPr>
          <w:b/>
          <w:szCs w:val="24"/>
        </w:rPr>
        <w:t xml:space="preserve"> &amp; Notable Achievements</w:t>
      </w:r>
    </w:p>
    <w:p w:rsidR="00C12513" w:rsidRPr="00F11EF0" w:rsidRDefault="00C12513" w:rsidP="00C12513">
      <w:pPr>
        <w:pStyle w:val="BodyText"/>
        <w:ind w:left="709" w:hanging="709"/>
        <w:rPr>
          <w:szCs w:val="24"/>
        </w:rPr>
      </w:pPr>
    </w:p>
    <w:p w:rsidR="00C12513" w:rsidRPr="00996D5C" w:rsidRDefault="00C12513" w:rsidP="00C12513">
      <w:pPr>
        <w:pStyle w:val="BodyText"/>
        <w:ind w:left="709" w:hanging="709"/>
        <w:rPr>
          <w:szCs w:val="24"/>
        </w:rPr>
      </w:pPr>
      <w:r w:rsidRPr="00996D5C">
        <w:rPr>
          <w:szCs w:val="24"/>
        </w:rPr>
        <w:t>2</w:t>
      </w:r>
      <w:r w:rsidR="002E59CF" w:rsidRPr="00996D5C">
        <w:rPr>
          <w:szCs w:val="24"/>
        </w:rPr>
        <w:t>7</w:t>
      </w:r>
      <w:r w:rsidRPr="00996D5C">
        <w:rPr>
          <w:szCs w:val="24"/>
        </w:rPr>
        <w:t>.</w:t>
      </w:r>
      <w:r w:rsidRPr="00996D5C">
        <w:rPr>
          <w:szCs w:val="24"/>
        </w:rPr>
        <w:tab/>
        <w:t>The relationship enjoyed by the Authority with the Institute of Licensing (IOL) continues, and training courses have been implemented both in Oxford and further afar for staff to continue their learning and development.</w:t>
      </w:r>
    </w:p>
    <w:p w:rsidR="00163D85" w:rsidRPr="00AB1155" w:rsidRDefault="00163D85" w:rsidP="00C12513">
      <w:pPr>
        <w:pStyle w:val="BodyText"/>
        <w:ind w:left="709" w:hanging="709"/>
        <w:rPr>
          <w:szCs w:val="24"/>
          <w:highlight w:val="cyan"/>
        </w:rPr>
      </w:pPr>
    </w:p>
    <w:p w:rsidR="00163D85" w:rsidRDefault="002E59CF" w:rsidP="00CA61B8">
      <w:pPr>
        <w:pStyle w:val="BodyText"/>
        <w:ind w:left="709" w:hanging="709"/>
        <w:rPr>
          <w:szCs w:val="24"/>
        </w:rPr>
      </w:pPr>
      <w:r w:rsidRPr="00996D5C">
        <w:rPr>
          <w:szCs w:val="24"/>
        </w:rPr>
        <w:t>28</w:t>
      </w:r>
      <w:r w:rsidR="00C12513" w:rsidRPr="00996D5C">
        <w:rPr>
          <w:szCs w:val="24"/>
        </w:rPr>
        <w:t>.</w:t>
      </w:r>
      <w:r w:rsidR="00C12513" w:rsidRPr="00996D5C">
        <w:rPr>
          <w:szCs w:val="24"/>
        </w:rPr>
        <w:tab/>
        <w:t xml:space="preserve">The Licensing Authority </w:t>
      </w:r>
      <w:r w:rsidR="00163D85">
        <w:rPr>
          <w:szCs w:val="24"/>
        </w:rPr>
        <w:t>continue to be</w:t>
      </w:r>
      <w:r w:rsidR="00C12513" w:rsidRPr="00996D5C">
        <w:rPr>
          <w:szCs w:val="24"/>
        </w:rPr>
        <w:t xml:space="preserve"> a Member of the National Association of Licensing Enforcement Officers (NALEO) which assists licensing staff undertake further development courses and obtain further licensing qualifications.</w:t>
      </w:r>
    </w:p>
    <w:p w:rsidR="003623A4" w:rsidRDefault="003623A4" w:rsidP="00C12513">
      <w:pPr>
        <w:pStyle w:val="BodyText"/>
        <w:ind w:left="709" w:hanging="709"/>
        <w:rPr>
          <w:szCs w:val="24"/>
        </w:rPr>
      </w:pPr>
    </w:p>
    <w:p w:rsidR="00CA61B8" w:rsidRDefault="00CA61B8" w:rsidP="00C12513">
      <w:pPr>
        <w:pStyle w:val="BodyText"/>
        <w:ind w:left="709" w:hanging="709"/>
        <w:rPr>
          <w:szCs w:val="24"/>
        </w:rPr>
      </w:pPr>
      <w:r>
        <w:rPr>
          <w:szCs w:val="24"/>
        </w:rPr>
        <w:t xml:space="preserve">29.     The Licensing Authority is currently in the process of reviewing the Statement of Gambling Licensing Policy under its obligation to </w:t>
      </w:r>
      <w:r w:rsidRPr="00B10E00">
        <w:rPr>
          <w:szCs w:val="19"/>
        </w:rPr>
        <w:t>renew the Policy at least every three years</w:t>
      </w:r>
      <w:r>
        <w:rPr>
          <w:szCs w:val="19"/>
        </w:rPr>
        <w:t xml:space="preserve">. The Council is required to </w:t>
      </w:r>
      <w:r>
        <w:rPr>
          <w:rFonts w:eastAsia="MS Mincho"/>
          <w:lang w:eastAsia="ja-JP"/>
        </w:rPr>
        <w:t>implement a new Policy by 31</w:t>
      </w:r>
      <w:r w:rsidRPr="00D5017B">
        <w:rPr>
          <w:rFonts w:eastAsia="MS Mincho"/>
          <w:vertAlign w:val="superscript"/>
          <w:lang w:eastAsia="ja-JP"/>
        </w:rPr>
        <w:t>st</w:t>
      </w:r>
      <w:r>
        <w:rPr>
          <w:rFonts w:eastAsia="MS Mincho"/>
          <w:lang w:eastAsia="ja-JP"/>
        </w:rPr>
        <w:t xml:space="preserve"> January 2019.</w:t>
      </w:r>
    </w:p>
    <w:p w:rsidR="00CA61B8" w:rsidRDefault="00CA61B8" w:rsidP="00C12513">
      <w:pPr>
        <w:pStyle w:val="BodyText"/>
        <w:ind w:left="709" w:hanging="709"/>
        <w:rPr>
          <w:szCs w:val="24"/>
        </w:rPr>
      </w:pPr>
    </w:p>
    <w:p w:rsidR="00C12513" w:rsidRPr="00996D5C" w:rsidRDefault="00CA61B8" w:rsidP="00C12513">
      <w:pPr>
        <w:pStyle w:val="BodyText"/>
        <w:ind w:left="709" w:hanging="709"/>
        <w:rPr>
          <w:szCs w:val="24"/>
        </w:rPr>
      </w:pPr>
      <w:r>
        <w:rPr>
          <w:szCs w:val="24"/>
        </w:rPr>
        <w:t>30</w:t>
      </w:r>
      <w:r w:rsidR="00C12513" w:rsidRPr="00996D5C">
        <w:rPr>
          <w:szCs w:val="24"/>
        </w:rPr>
        <w:t>.</w:t>
      </w:r>
      <w:r w:rsidR="00C12513" w:rsidRPr="00996D5C">
        <w:rPr>
          <w:szCs w:val="24"/>
        </w:rPr>
        <w:tab/>
        <w:t>The Licensing Authority enjoys a very fruitful relationship with the Home Office and Local Government Association, and will continue to be involved in the strategic debates and consultations regarding the work carried out by Authorities nationally. We are currently working with the Home Office and LGA in the formulation of National Licensing Safeguarding Guidance to Local Authorities.</w:t>
      </w:r>
    </w:p>
    <w:p w:rsidR="00C12513" w:rsidRPr="00AB1155" w:rsidRDefault="00C12513" w:rsidP="00C12513">
      <w:pPr>
        <w:pStyle w:val="BodyText"/>
        <w:ind w:left="709" w:hanging="709"/>
        <w:rPr>
          <w:szCs w:val="24"/>
          <w:highlight w:val="cyan"/>
        </w:rPr>
      </w:pPr>
    </w:p>
    <w:p w:rsidR="00C12513" w:rsidRDefault="00CA61B8" w:rsidP="00C12513">
      <w:pPr>
        <w:pStyle w:val="BodyText"/>
        <w:ind w:left="709" w:hanging="709"/>
        <w:rPr>
          <w:szCs w:val="24"/>
        </w:rPr>
      </w:pPr>
      <w:r>
        <w:rPr>
          <w:szCs w:val="24"/>
        </w:rPr>
        <w:t>31</w:t>
      </w:r>
      <w:r w:rsidR="00C12513" w:rsidRPr="00996D5C">
        <w:rPr>
          <w:szCs w:val="24"/>
        </w:rPr>
        <w:t>.</w:t>
      </w:r>
      <w:r w:rsidR="00C12513" w:rsidRPr="00996D5C">
        <w:rPr>
          <w:szCs w:val="24"/>
        </w:rPr>
        <w:tab/>
        <w:t>The working practices of this Licensing Authority continue to be seen as the benchmark for other Authorities to attain. We have, and continue to liaise with among others Authorities, as well as international cities and countries in their aim to provide transparent, efficient, effective and accountable licensing functions that serve the best interests of their customers, licence holders, residents, businesses and visitors.</w:t>
      </w:r>
    </w:p>
    <w:p w:rsidR="0040736F" w:rsidRPr="001356F1" w:rsidRDefault="002329CF" w:rsidP="004A6D2F">
      <w:pPr>
        <w:pStyle w:val="Heading1"/>
      </w:pPr>
      <w:r w:rsidRPr="001356F1">
        <w:t>Financial implications</w:t>
      </w:r>
    </w:p>
    <w:p w:rsidR="003623A4" w:rsidRDefault="003623A4" w:rsidP="00C12513">
      <w:pPr>
        <w:tabs>
          <w:tab w:val="num" w:pos="709"/>
        </w:tabs>
        <w:ind w:left="709" w:hanging="709"/>
      </w:pPr>
    </w:p>
    <w:p w:rsidR="00C12513" w:rsidRDefault="00CA61B8" w:rsidP="00C12513">
      <w:pPr>
        <w:tabs>
          <w:tab w:val="num" w:pos="709"/>
        </w:tabs>
        <w:ind w:left="709" w:hanging="709"/>
      </w:pPr>
      <w:r>
        <w:t>32</w:t>
      </w:r>
      <w:r w:rsidR="00C12513">
        <w:t>.</w:t>
      </w:r>
      <w:r w:rsidR="00C12513">
        <w:tab/>
        <w:t>There are no financial requirements for consideration contained within this report.</w:t>
      </w:r>
    </w:p>
    <w:p w:rsidR="0040736F" w:rsidRPr="001356F1" w:rsidRDefault="00DA614B" w:rsidP="004A6D2F">
      <w:pPr>
        <w:pStyle w:val="Heading1"/>
      </w:pPr>
      <w:r w:rsidRPr="001356F1">
        <w:t>Legal issues</w:t>
      </w:r>
    </w:p>
    <w:p w:rsidR="00996D5C" w:rsidRDefault="00996D5C" w:rsidP="00996D5C">
      <w:pPr>
        <w:pStyle w:val="ListParagraph"/>
        <w:numPr>
          <w:ilvl w:val="0"/>
          <w:numId w:val="0"/>
        </w:numPr>
        <w:ind w:left="720"/>
      </w:pPr>
    </w:p>
    <w:p w:rsidR="00E87F7A" w:rsidRDefault="002E59CF" w:rsidP="00CA61B8">
      <w:pPr>
        <w:pStyle w:val="ListParagraph"/>
        <w:numPr>
          <w:ilvl w:val="0"/>
          <w:numId w:val="43"/>
        </w:numPr>
        <w:ind w:hanging="720"/>
      </w:pPr>
      <w:r>
        <w:t xml:space="preserve">    </w:t>
      </w:r>
      <w:r w:rsidR="004D023A">
        <w:t>There are no legal implications contained within this report.</w:t>
      </w:r>
    </w:p>
    <w:p w:rsidR="004D023A" w:rsidRPr="001356F1" w:rsidRDefault="004D023A" w:rsidP="004D023A">
      <w:pPr>
        <w:pStyle w:val="ListParagraph"/>
        <w:numPr>
          <w:ilvl w:val="0"/>
          <w:numId w:val="0"/>
        </w:numPr>
        <w:ind w:left="720"/>
      </w:pPr>
    </w:p>
    <w:p w:rsidR="004D023A" w:rsidRPr="00405A26" w:rsidRDefault="004D023A" w:rsidP="004D023A">
      <w:pPr>
        <w:pStyle w:val="BodyText"/>
        <w:tabs>
          <w:tab w:val="num" w:pos="540"/>
        </w:tabs>
        <w:ind w:left="709" w:hanging="709"/>
        <w:rPr>
          <w:b/>
          <w:szCs w:val="24"/>
        </w:rPr>
      </w:pPr>
      <w:r w:rsidRPr="00405A26">
        <w:rPr>
          <w:b/>
          <w:szCs w:val="24"/>
        </w:rPr>
        <w:t>Recommendations</w:t>
      </w:r>
    </w:p>
    <w:p w:rsidR="004D023A" w:rsidRDefault="004D023A" w:rsidP="004D023A">
      <w:pPr>
        <w:pStyle w:val="BodyText"/>
        <w:tabs>
          <w:tab w:val="num" w:pos="540"/>
        </w:tabs>
        <w:ind w:left="540" w:hanging="540"/>
        <w:rPr>
          <w:szCs w:val="24"/>
        </w:rPr>
      </w:pPr>
    </w:p>
    <w:p w:rsidR="004D023A" w:rsidRDefault="00CA61B8" w:rsidP="004D023A">
      <w:pPr>
        <w:pStyle w:val="BodyText"/>
        <w:tabs>
          <w:tab w:val="num" w:pos="709"/>
        </w:tabs>
        <w:ind w:left="709" w:hanging="709"/>
        <w:rPr>
          <w:szCs w:val="24"/>
        </w:rPr>
      </w:pPr>
      <w:r>
        <w:rPr>
          <w:szCs w:val="24"/>
        </w:rPr>
        <w:t>34</w:t>
      </w:r>
      <w:r w:rsidR="004D023A">
        <w:rPr>
          <w:szCs w:val="24"/>
        </w:rPr>
        <w:t>.</w:t>
      </w:r>
      <w:r w:rsidR="004D023A">
        <w:rPr>
          <w:szCs w:val="24"/>
        </w:rPr>
        <w:tab/>
        <w:t>The Licensing and Gambling Acts Committee is recommended to:</w:t>
      </w:r>
    </w:p>
    <w:p w:rsidR="004D023A" w:rsidRDefault="004D023A" w:rsidP="004D023A">
      <w:pPr>
        <w:pStyle w:val="BodyText"/>
        <w:tabs>
          <w:tab w:val="num" w:pos="540"/>
        </w:tabs>
        <w:ind w:left="540" w:hanging="540"/>
        <w:rPr>
          <w:szCs w:val="24"/>
        </w:rPr>
      </w:pPr>
    </w:p>
    <w:p w:rsidR="004D023A" w:rsidRDefault="004D023A" w:rsidP="004D023A">
      <w:pPr>
        <w:pStyle w:val="BodyText"/>
        <w:numPr>
          <w:ilvl w:val="3"/>
          <w:numId w:val="34"/>
        </w:numPr>
        <w:ind w:left="1134" w:hanging="425"/>
        <w:rPr>
          <w:szCs w:val="24"/>
        </w:rPr>
      </w:pPr>
      <w:r>
        <w:rPr>
          <w:szCs w:val="24"/>
        </w:rPr>
        <w:t xml:space="preserve">note the contents of the report; and </w:t>
      </w:r>
    </w:p>
    <w:p w:rsidR="004D023A" w:rsidRDefault="004D023A" w:rsidP="004D023A">
      <w:pPr>
        <w:pStyle w:val="BodyText"/>
        <w:ind w:left="1134" w:hanging="425"/>
        <w:rPr>
          <w:szCs w:val="24"/>
        </w:rPr>
      </w:pPr>
    </w:p>
    <w:p w:rsidR="004D023A" w:rsidRDefault="004D023A" w:rsidP="004D023A">
      <w:pPr>
        <w:pStyle w:val="BodyText"/>
        <w:numPr>
          <w:ilvl w:val="3"/>
          <w:numId w:val="34"/>
        </w:numPr>
        <w:ind w:left="1134" w:hanging="425"/>
        <w:rPr>
          <w:szCs w:val="24"/>
        </w:rPr>
      </w:pPr>
      <w:proofErr w:type="gramStart"/>
      <w:r>
        <w:rPr>
          <w:szCs w:val="24"/>
        </w:rPr>
        <w:t>make</w:t>
      </w:r>
      <w:proofErr w:type="gramEnd"/>
      <w:r>
        <w:rPr>
          <w:szCs w:val="24"/>
        </w:rPr>
        <w:t xml:space="preserve"> any comments and recommendations regarding the future work of the Licensing function.</w:t>
      </w:r>
    </w:p>
    <w:p w:rsidR="002329CF" w:rsidRDefault="002329CF" w:rsidP="004A6D2F"/>
    <w:p w:rsidR="008F2661" w:rsidRDefault="008F2661" w:rsidP="004A6D2F"/>
    <w:p w:rsidR="00421A73" w:rsidRDefault="00421A73" w:rsidP="004A6D2F"/>
    <w:p w:rsidR="00421A73" w:rsidRDefault="00421A73" w:rsidP="004A6D2F"/>
    <w:p w:rsidR="00421A73" w:rsidRDefault="00421A73" w:rsidP="004A6D2F"/>
    <w:p w:rsidR="00421A73" w:rsidRPr="001356F1" w:rsidRDefault="00421A73"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421A73" w:rsidP="00A46E98">
            <w:r>
              <w:rPr>
                <w:rFonts w:cs="Arial"/>
                <w:b/>
                <w:bCs/>
              </w:rPr>
              <w:t>Richard Masters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4102E9" w:rsidRDefault="00421A73" w:rsidP="00A46E98">
            <w:pPr>
              <w:rPr>
                <w:rFonts w:cs="Arial"/>
                <w:b/>
                <w:bCs/>
              </w:rPr>
            </w:pPr>
            <w:r>
              <w:rPr>
                <w:rFonts w:cs="Arial"/>
                <w:b/>
                <w:bCs/>
              </w:rPr>
              <w:t>Licensing Compliance Officer</w:t>
            </w:r>
          </w:p>
          <w:p w:rsidR="004102E9" w:rsidRPr="00416C7E" w:rsidRDefault="004102E9" w:rsidP="00A46E98">
            <w:pPr>
              <w:rPr>
                <w:sz w:val="16"/>
                <w:szCs w:val="16"/>
              </w:rPr>
            </w:pP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421A73" w:rsidRDefault="00E87F7A" w:rsidP="00A46E98">
            <w:r w:rsidRPr="00421A73">
              <w:t>Service area or department</w:t>
            </w:r>
          </w:p>
        </w:tc>
        <w:tc>
          <w:tcPr>
            <w:tcW w:w="4962" w:type="dxa"/>
            <w:tcBorders>
              <w:top w:val="nil"/>
              <w:left w:val="nil"/>
              <w:bottom w:val="nil"/>
              <w:right w:val="single" w:sz="8" w:space="0" w:color="000000"/>
            </w:tcBorders>
            <w:shd w:val="clear" w:color="auto" w:fill="auto"/>
          </w:tcPr>
          <w:p w:rsidR="00E87F7A" w:rsidRPr="00421A73" w:rsidRDefault="00421A73" w:rsidP="00A46E98">
            <w:r w:rsidRPr="00421A73">
              <w:rPr>
                <w:rFonts w:cs="Arial"/>
                <w:b/>
                <w:bCs/>
              </w:rPr>
              <w:t>General Licensing</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421A73" w:rsidRDefault="00E87F7A" w:rsidP="00A46E98">
            <w:r w:rsidRPr="00421A73">
              <w:t xml:space="preserve">Telephone </w:t>
            </w:r>
          </w:p>
        </w:tc>
        <w:tc>
          <w:tcPr>
            <w:tcW w:w="4962" w:type="dxa"/>
            <w:tcBorders>
              <w:top w:val="nil"/>
              <w:left w:val="nil"/>
              <w:bottom w:val="nil"/>
              <w:right w:val="single" w:sz="8" w:space="0" w:color="000000"/>
            </w:tcBorders>
            <w:shd w:val="clear" w:color="auto" w:fill="auto"/>
          </w:tcPr>
          <w:p w:rsidR="00E87F7A" w:rsidRPr="00421A73" w:rsidRDefault="004102E9" w:rsidP="00421A73">
            <w:r w:rsidRPr="00421A73">
              <w:rPr>
                <w:rFonts w:cs="Arial"/>
                <w:b/>
                <w:bCs/>
              </w:rPr>
              <w:t xml:space="preserve">(01865) </w:t>
            </w:r>
            <w:r w:rsidR="00421A73" w:rsidRPr="00421A73">
              <w:rPr>
                <w:rFonts w:cs="Arial"/>
                <w:b/>
                <w:bCs/>
              </w:rPr>
              <w:t>252565</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421A73" w:rsidRDefault="00E87F7A" w:rsidP="00A46E98">
            <w:r w:rsidRPr="00421A73">
              <w:t xml:space="preserve">e-mail </w:t>
            </w:r>
          </w:p>
        </w:tc>
        <w:tc>
          <w:tcPr>
            <w:tcW w:w="4962" w:type="dxa"/>
            <w:tcBorders>
              <w:top w:val="nil"/>
              <w:left w:val="nil"/>
              <w:bottom w:val="single" w:sz="8" w:space="0" w:color="000000"/>
              <w:right w:val="single" w:sz="8" w:space="0" w:color="000000"/>
            </w:tcBorders>
            <w:shd w:val="clear" w:color="auto" w:fill="auto"/>
          </w:tcPr>
          <w:p w:rsidR="00E87F7A" w:rsidRPr="00421A73" w:rsidRDefault="00421A73" w:rsidP="00A46E98">
            <w:pPr>
              <w:rPr>
                <w:rStyle w:val="Hyperlink"/>
                <w:color w:val="000000"/>
              </w:rPr>
            </w:pPr>
            <w:r w:rsidRPr="00421A73">
              <w:rPr>
                <w:rFonts w:cs="Arial"/>
                <w:b/>
                <w:bCs/>
              </w:rPr>
              <w:t>rmasters@oxford.gov.uk</w:t>
            </w:r>
          </w:p>
        </w:tc>
      </w:tr>
    </w:tbl>
    <w:p w:rsidR="00A4626B" w:rsidRDefault="00A4626B" w:rsidP="0093067A"/>
    <w:p w:rsidR="0054712D" w:rsidRDefault="0054712D" w:rsidP="0093067A"/>
    <w:p w:rsidR="00E62877" w:rsidRPr="009E51FC" w:rsidRDefault="00E62877" w:rsidP="0093067A"/>
    <w:sectPr w:rsidR="00E62877" w:rsidRPr="009E51FC" w:rsidSect="003623A4">
      <w:headerReference w:type="default" r:id="rId9"/>
      <w:footerReference w:type="even" r:id="rId10"/>
      <w:headerReference w:type="first" r:id="rId11"/>
      <w:footerReference w:type="first" r:id="rId12"/>
      <w:pgSz w:w="11906" w:h="16838" w:code="9"/>
      <w:pgMar w:top="1418" w:right="1304" w:bottom="99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4A" w:rsidRDefault="00BB344A" w:rsidP="004A6D2F">
      <w:r>
        <w:separator/>
      </w:r>
    </w:p>
  </w:endnote>
  <w:endnote w:type="continuationSeparator" w:id="0">
    <w:p w:rsidR="00BB344A" w:rsidRDefault="00BB344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4A" w:rsidRDefault="00BB344A" w:rsidP="004A6D2F">
      <w:r>
        <w:separator/>
      </w:r>
    </w:p>
  </w:footnote>
  <w:footnote w:type="continuationSeparator" w:id="0">
    <w:p w:rsidR="00BB344A" w:rsidRDefault="00BB344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2F" w:rsidRDefault="005B2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E5758" w:rsidP="00D5547E">
    <w:pPr>
      <w:pStyle w:val="Header"/>
      <w:jc w:val="right"/>
    </w:pPr>
    <w:r>
      <w:rPr>
        <w:noProof/>
      </w:rPr>
      <w:drawing>
        <wp:inline distT="0" distB="0" distL="0" distR="0" wp14:anchorId="620927D2" wp14:editId="144980E1">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4813CA"/>
    <w:multiLevelType w:val="hybridMultilevel"/>
    <w:tmpl w:val="5956CBE6"/>
    <w:lvl w:ilvl="0" w:tplc="7EBA11E6">
      <w:start w:val="19"/>
      <w:numFmt w:val="decimal"/>
      <w:lvlText w:val="%1."/>
      <w:lvlJc w:val="left"/>
      <w:pPr>
        <w:tabs>
          <w:tab w:val="num" w:pos="720"/>
        </w:tabs>
        <w:ind w:left="720" w:hanging="3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C12E6B"/>
    <w:multiLevelType w:val="hybridMultilevel"/>
    <w:tmpl w:val="ACA481F0"/>
    <w:lvl w:ilvl="0" w:tplc="0809000F">
      <w:start w:val="2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6FA0FBA"/>
    <w:multiLevelType w:val="hybridMultilevel"/>
    <w:tmpl w:val="497204D6"/>
    <w:lvl w:ilvl="0" w:tplc="07CEC62A">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EA3F87"/>
    <w:multiLevelType w:val="hybridMultilevel"/>
    <w:tmpl w:val="AC363428"/>
    <w:lvl w:ilvl="0" w:tplc="08367582">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7F7185"/>
    <w:multiLevelType w:val="hybridMultilevel"/>
    <w:tmpl w:val="9D12572E"/>
    <w:lvl w:ilvl="0" w:tplc="7244FACA">
      <w:start w:val="9"/>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7DE2706"/>
    <w:multiLevelType w:val="hybridMultilevel"/>
    <w:tmpl w:val="811CAB4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7F0E99"/>
    <w:multiLevelType w:val="hybridMultilevel"/>
    <w:tmpl w:val="6F4E60AE"/>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A22831"/>
    <w:multiLevelType w:val="multilevel"/>
    <w:tmpl w:val="43D6D2FA"/>
    <w:numStyleLink w:val="StyleBulletedSymbolsymbolLeft063cmHanging063cm"/>
  </w:abstractNum>
  <w:abstractNum w:abstractNumId="3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437470"/>
    <w:multiLevelType w:val="hybridMultilevel"/>
    <w:tmpl w:val="C78A765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7DB5133"/>
    <w:multiLevelType w:val="hybridMultilevel"/>
    <w:tmpl w:val="A6F6C61A"/>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915A9A44">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8365C6"/>
    <w:multiLevelType w:val="multilevel"/>
    <w:tmpl w:val="E67CE66C"/>
    <w:numStyleLink w:val="StyleNumberedLeft0cmHanging075cm"/>
  </w:abstractNum>
  <w:num w:numId="1">
    <w:abstractNumId w:val="30"/>
  </w:num>
  <w:num w:numId="2">
    <w:abstractNumId w:val="37"/>
  </w:num>
  <w:num w:numId="3">
    <w:abstractNumId w:val="26"/>
  </w:num>
  <w:num w:numId="4">
    <w:abstractNumId w:val="21"/>
  </w:num>
  <w:num w:numId="5">
    <w:abstractNumId w:val="33"/>
  </w:num>
  <w:num w:numId="6">
    <w:abstractNumId w:val="39"/>
  </w:num>
  <w:num w:numId="7">
    <w:abstractNumId w:val="25"/>
  </w:num>
  <w:num w:numId="8">
    <w:abstractNumId w:val="23"/>
  </w:num>
  <w:num w:numId="9">
    <w:abstractNumId w:val="14"/>
  </w:num>
  <w:num w:numId="10">
    <w:abstractNumId w:val="17"/>
  </w:num>
  <w:num w:numId="11">
    <w:abstractNumId w:val="28"/>
  </w:num>
  <w:num w:numId="12">
    <w:abstractNumId w:val="27"/>
  </w:num>
  <w:num w:numId="13">
    <w:abstractNumId w:val="11"/>
  </w:num>
  <w:num w:numId="14">
    <w:abstractNumId w:val="41"/>
  </w:num>
  <w:num w:numId="15">
    <w:abstractNumId w:val="18"/>
  </w:num>
  <w:num w:numId="16">
    <w:abstractNumId w:val="12"/>
  </w:num>
  <w:num w:numId="17">
    <w:abstractNumId w:val="32"/>
  </w:num>
  <w:num w:numId="18">
    <w:abstractNumId w:val="13"/>
  </w:num>
  <w:num w:numId="19">
    <w:abstractNumId w:val="35"/>
  </w:num>
  <w:num w:numId="20">
    <w:abstractNumId w:val="19"/>
  </w:num>
  <w:num w:numId="21">
    <w:abstractNumId w:val="24"/>
  </w:num>
  <w:num w:numId="22">
    <w:abstractNumId w:val="15"/>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0"/>
  </w:num>
  <w:num w:numId="35">
    <w:abstractNumId w:val="10"/>
  </w:num>
  <w:num w:numId="36">
    <w:abstractNumId w:val="20"/>
  </w:num>
  <w:num w:numId="37">
    <w:abstractNumId w:val="38"/>
  </w:num>
  <w:num w:numId="38">
    <w:abstractNumId w:val="16"/>
  </w:num>
  <w:num w:numId="39">
    <w:abstractNumId w:val="29"/>
  </w:num>
  <w:num w:numId="40">
    <w:abstractNumId w:val="34"/>
  </w:num>
  <w:num w:numId="41">
    <w:abstractNumId w:val="31"/>
  </w:num>
  <w:num w:numId="42">
    <w:abstractNumId w:val="41"/>
  </w:num>
  <w:num w:numId="4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117D4"/>
    <w:rsid w:val="00015AFD"/>
    <w:rsid w:val="000314D7"/>
    <w:rsid w:val="000342B2"/>
    <w:rsid w:val="00037C60"/>
    <w:rsid w:val="00045F8B"/>
    <w:rsid w:val="00046D2B"/>
    <w:rsid w:val="00056263"/>
    <w:rsid w:val="00064D8A"/>
    <w:rsid w:val="00064F82"/>
    <w:rsid w:val="00066510"/>
    <w:rsid w:val="00074FB1"/>
    <w:rsid w:val="00077523"/>
    <w:rsid w:val="0008030A"/>
    <w:rsid w:val="000C089F"/>
    <w:rsid w:val="000C3928"/>
    <w:rsid w:val="000C5E8E"/>
    <w:rsid w:val="000F4751"/>
    <w:rsid w:val="0010524C"/>
    <w:rsid w:val="00111FB1"/>
    <w:rsid w:val="00113418"/>
    <w:rsid w:val="001356F1"/>
    <w:rsid w:val="00136994"/>
    <w:rsid w:val="0014128E"/>
    <w:rsid w:val="00151888"/>
    <w:rsid w:val="00163D85"/>
    <w:rsid w:val="001671B3"/>
    <w:rsid w:val="00170A2D"/>
    <w:rsid w:val="001808BC"/>
    <w:rsid w:val="00182B81"/>
    <w:rsid w:val="0018619D"/>
    <w:rsid w:val="001A011E"/>
    <w:rsid w:val="001A066A"/>
    <w:rsid w:val="001A13E6"/>
    <w:rsid w:val="001A5731"/>
    <w:rsid w:val="001B42C3"/>
    <w:rsid w:val="001C5D5E"/>
    <w:rsid w:val="001D2AF4"/>
    <w:rsid w:val="001D678D"/>
    <w:rsid w:val="001E03F8"/>
    <w:rsid w:val="001E1678"/>
    <w:rsid w:val="001E3376"/>
    <w:rsid w:val="001F2EAF"/>
    <w:rsid w:val="00203782"/>
    <w:rsid w:val="002069B3"/>
    <w:rsid w:val="00222C4D"/>
    <w:rsid w:val="00226073"/>
    <w:rsid w:val="002329CF"/>
    <w:rsid w:val="00232F5B"/>
    <w:rsid w:val="00245860"/>
    <w:rsid w:val="00247C29"/>
    <w:rsid w:val="00260467"/>
    <w:rsid w:val="00263EA3"/>
    <w:rsid w:val="00284F85"/>
    <w:rsid w:val="00290915"/>
    <w:rsid w:val="00292B06"/>
    <w:rsid w:val="002A22E2"/>
    <w:rsid w:val="002C28AD"/>
    <w:rsid w:val="002C64F7"/>
    <w:rsid w:val="002C654F"/>
    <w:rsid w:val="002E52F7"/>
    <w:rsid w:val="002E59CF"/>
    <w:rsid w:val="002F41F2"/>
    <w:rsid w:val="00301BF3"/>
    <w:rsid w:val="0030208D"/>
    <w:rsid w:val="0030523B"/>
    <w:rsid w:val="00323418"/>
    <w:rsid w:val="0032371C"/>
    <w:rsid w:val="003303DA"/>
    <w:rsid w:val="003357BF"/>
    <w:rsid w:val="003623A4"/>
    <w:rsid w:val="003642AB"/>
    <w:rsid w:val="00364FAD"/>
    <w:rsid w:val="0036738F"/>
    <w:rsid w:val="0036759C"/>
    <w:rsid w:val="00367AE5"/>
    <w:rsid w:val="00367D71"/>
    <w:rsid w:val="0038150A"/>
    <w:rsid w:val="00396843"/>
    <w:rsid w:val="003B093C"/>
    <w:rsid w:val="003B6E75"/>
    <w:rsid w:val="003B7DA1"/>
    <w:rsid w:val="003C141B"/>
    <w:rsid w:val="003D0379"/>
    <w:rsid w:val="003D2574"/>
    <w:rsid w:val="003D4C59"/>
    <w:rsid w:val="003E166F"/>
    <w:rsid w:val="003E70CB"/>
    <w:rsid w:val="003F0DB9"/>
    <w:rsid w:val="003F4086"/>
    <w:rsid w:val="003F4267"/>
    <w:rsid w:val="00404032"/>
    <w:rsid w:val="0040736F"/>
    <w:rsid w:val="004102E9"/>
    <w:rsid w:val="00412C1F"/>
    <w:rsid w:val="00416C7E"/>
    <w:rsid w:val="00421A73"/>
    <w:rsid w:val="00421CB2"/>
    <w:rsid w:val="00422A47"/>
    <w:rsid w:val="00425972"/>
    <w:rsid w:val="004268B9"/>
    <w:rsid w:val="00433B96"/>
    <w:rsid w:val="004440F1"/>
    <w:rsid w:val="004456DD"/>
    <w:rsid w:val="00446CDF"/>
    <w:rsid w:val="004521B7"/>
    <w:rsid w:val="00461BA5"/>
    <w:rsid w:val="00462AB5"/>
    <w:rsid w:val="00465EAF"/>
    <w:rsid w:val="00471319"/>
    <w:rsid w:val="004738C5"/>
    <w:rsid w:val="00491046"/>
    <w:rsid w:val="004A2AC7"/>
    <w:rsid w:val="004A6D2F"/>
    <w:rsid w:val="004B63AF"/>
    <w:rsid w:val="004C2887"/>
    <w:rsid w:val="004D023A"/>
    <w:rsid w:val="004D2626"/>
    <w:rsid w:val="004D481B"/>
    <w:rsid w:val="004D6E26"/>
    <w:rsid w:val="004D77D3"/>
    <w:rsid w:val="004E2959"/>
    <w:rsid w:val="004F20EF"/>
    <w:rsid w:val="0050321C"/>
    <w:rsid w:val="005432BA"/>
    <w:rsid w:val="0054712D"/>
    <w:rsid w:val="00547EF6"/>
    <w:rsid w:val="005570B5"/>
    <w:rsid w:val="00567E18"/>
    <w:rsid w:val="00575F5F"/>
    <w:rsid w:val="00581805"/>
    <w:rsid w:val="00584D38"/>
    <w:rsid w:val="00585F76"/>
    <w:rsid w:val="005A34E4"/>
    <w:rsid w:val="005B17F2"/>
    <w:rsid w:val="005B242F"/>
    <w:rsid w:val="005B7FB0"/>
    <w:rsid w:val="005C35A5"/>
    <w:rsid w:val="005C577C"/>
    <w:rsid w:val="005D0621"/>
    <w:rsid w:val="005D1177"/>
    <w:rsid w:val="005D1E27"/>
    <w:rsid w:val="005D2A3E"/>
    <w:rsid w:val="005E022E"/>
    <w:rsid w:val="005E41E8"/>
    <w:rsid w:val="005E5215"/>
    <w:rsid w:val="005F7F7E"/>
    <w:rsid w:val="00614693"/>
    <w:rsid w:val="00623C2F"/>
    <w:rsid w:val="00631EA7"/>
    <w:rsid w:val="00633578"/>
    <w:rsid w:val="00637068"/>
    <w:rsid w:val="0063731D"/>
    <w:rsid w:val="00641E09"/>
    <w:rsid w:val="00650811"/>
    <w:rsid w:val="00661D3E"/>
    <w:rsid w:val="00692627"/>
    <w:rsid w:val="006969E7"/>
    <w:rsid w:val="006A3643"/>
    <w:rsid w:val="006C1997"/>
    <w:rsid w:val="006C2A29"/>
    <w:rsid w:val="006C64CF"/>
    <w:rsid w:val="006D17B1"/>
    <w:rsid w:val="006D4752"/>
    <w:rsid w:val="006D708A"/>
    <w:rsid w:val="006D7DAB"/>
    <w:rsid w:val="006E14C1"/>
    <w:rsid w:val="006F0292"/>
    <w:rsid w:val="006F27FA"/>
    <w:rsid w:val="006F416B"/>
    <w:rsid w:val="006F519B"/>
    <w:rsid w:val="006F58C2"/>
    <w:rsid w:val="00706D42"/>
    <w:rsid w:val="00712A0B"/>
    <w:rsid w:val="00713675"/>
    <w:rsid w:val="00715823"/>
    <w:rsid w:val="00737B93"/>
    <w:rsid w:val="00745BF0"/>
    <w:rsid w:val="00747A22"/>
    <w:rsid w:val="007615FE"/>
    <w:rsid w:val="0076655C"/>
    <w:rsid w:val="00766C16"/>
    <w:rsid w:val="007724B1"/>
    <w:rsid w:val="00774204"/>
    <w:rsid w:val="007742DC"/>
    <w:rsid w:val="007869A7"/>
    <w:rsid w:val="00791437"/>
    <w:rsid w:val="0079266F"/>
    <w:rsid w:val="007A49CC"/>
    <w:rsid w:val="007A6122"/>
    <w:rsid w:val="007B0C2C"/>
    <w:rsid w:val="007B278E"/>
    <w:rsid w:val="007C5C23"/>
    <w:rsid w:val="007D4ADC"/>
    <w:rsid w:val="007E2A26"/>
    <w:rsid w:val="007E3C5A"/>
    <w:rsid w:val="007F2348"/>
    <w:rsid w:val="00803F07"/>
    <w:rsid w:val="0080749A"/>
    <w:rsid w:val="00821FB8"/>
    <w:rsid w:val="00822ACD"/>
    <w:rsid w:val="00855C66"/>
    <w:rsid w:val="00867E18"/>
    <w:rsid w:val="00871EE4"/>
    <w:rsid w:val="008724E7"/>
    <w:rsid w:val="008A43AA"/>
    <w:rsid w:val="008B293F"/>
    <w:rsid w:val="008B7371"/>
    <w:rsid w:val="008C085F"/>
    <w:rsid w:val="008D3DDB"/>
    <w:rsid w:val="008D6AA7"/>
    <w:rsid w:val="008F2661"/>
    <w:rsid w:val="008F573F"/>
    <w:rsid w:val="009034EC"/>
    <w:rsid w:val="00927C5E"/>
    <w:rsid w:val="0093067A"/>
    <w:rsid w:val="00941C60"/>
    <w:rsid w:val="00941FD1"/>
    <w:rsid w:val="00966D42"/>
    <w:rsid w:val="00971689"/>
    <w:rsid w:val="00973E90"/>
    <w:rsid w:val="00975B07"/>
    <w:rsid w:val="00980B4A"/>
    <w:rsid w:val="00982B76"/>
    <w:rsid w:val="00996D5C"/>
    <w:rsid w:val="009A5328"/>
    <w:rsid w:val="009C5DAF"/>
    <w:rsid w:val="009E3D0A"/>
    <w:rsid w:val="009E51FC"/>
    <w:rsid w:val="009F1D28"/>
    <w:rsid w:val="009F7618"/>
    <w:rsid w:val="00A04D23"/>
    <w:rsid w:val="00A06766"/>
    <w:rsid w:val="00A13765"/>
    <w:rsid w:val="00A21B12"/>
    <w:rsid w:val="00A23F80"/>
    <w:rsid w:val="00A459B3"/>
    <w:rsid w:val="00A4626B"/>
    <w:rsid w:val="00A46E98"/>
    <w:rsid w:val="00A542F0"/>
    <w:rsid w:val="00A56019"/>
    <w:rsid w:val="00A6352B"/>
    <w:rsid w:val="00A701B5"/>
    <w:rsid w:val="00A714BB"/>
    <w:rsid w:val="00A77147"/>
    <w:rsid w:val="00A92D8F"/>
    <w:rsid w:val="00AA73C4"/>
    <w:rsid w:val="00AB1155"/>
    <w:rsid w:val="00AB2988"/>
    <w:rsid w:val="00AB7999"/>
    <w:rsid w:val="00AD3292"/>
    <w:rsid w:val="00AD64C2"/>
    <w:rsid w:val="00AE7AF0"/>
    <w:rsid w:val="00AF4D69"/>
    <w:rsid w:val="00B03BA3"/>
    <w:rsid w:val="00B500CA"/>
    <w:rsid w:val="00B50801"/>
    <w:rsid w:val="00B54D79"/>
    <w:rsid w:val="00B66DB1"/>
    <w:rsid w:val="00B70719"/>
    <w:rsid w:val="00B8247D"/>
    <w:rsid w:val="00B86314"/>
    <w:rsid w:val="00B87B94"/>
    <w:rsid w:val="00B87FC7"/>
    <w:rsid w:val="00BA1C2E"/>
    <w:rsid w:val="00BB344A"/>
    <w:rsid w:val="00BC200B"/>
    <w:rsid w:val="00BC4756"/>
    <w:rsid w:val="00BC69A4"/>
    <w:rsid w:val="00BE0680"/>
    <w:rsid w:val="00BE305F"/>
    <w:rsid w:val="00BE7BA3"/>
    <w:rsid w:val="00BF5682"/>
    <w:rsid w:val="00BF7B09"/>
    <w:rsid w:val="00C102CE"/>
    <w:rsid w:val="00C12513"/>
    <w:rsid w:val="00C20A95"/>
    <w:rsid w:val="00C2692F"/>
    <w:rsid w:val="00C3207C"/>
    <w:rsid w:val="00C400E1"/>
    <w:rsid w:val="00C41187"/>
    <w:rsid w:val="00C44BAE"/>
    <w:rsid w:val="00C63C31"/>
    <w:rsid w:val="00C757A0"/>
    <w:rsid w:val="00C760DE"/>
    <w:rsid w:val="00C82630"/>
    <w:rsid w:val="00C85255"/>
    <w:rsid w:val="00C85B4E"/>
    <w:rsid w:val="00C907F7"/>
    <w:rsid w:val="00CA2103"/>
    <w:rsid w:val="00CA61B8"/>
    <w:rsid w:val="00CB6B99"/>
    <w:rsid w:val="00CC4DE8"/>
    <w:rsid w:val="00CE4532"/>
    <w:rsid w:val="00CE4C87"/>
    <w:rsid w:val="00CE544A"/>
    <w:rsid w:val="00D11E1C"/>
    <w:rsid w:val="00D160B0"/>
    <w:rsid w:val="00D17F94"/>
    <w:rsid w:val="00D223FC"/>
    <w:rsid w:val="00D26D1E"/>
    <w:rsid w:val="00D474CF"/>
    <w:rsid w:val="00D5547E"/>
    <w:rsid w:val="00D57F03"/>
    <w:rsid w:val="00D609AF"/>
    <w:rsid w:val="00D70BFE"/>
    <w:rsid w:val="00D869A1"/>
    <w:rsid w:val="00D91471"/>
    <w:rsid w:val="00DA413F"/>
    <w:rsid w:val="00DA4584"/>
    <w:rsid w:val="00DA614B"/>
    <w:rsid w:val="00DB5E76"/>
    <w:rsid w:val="00DC159B"/>
    <w:rsid w:val="00DC3060"/>
    <w:rsid w:val="00DD425F"/>
    <w:rsid w:val="00DE0FB2"/>
    <w:rsid w:val="00DE1C29"/>
    <w:rsid w:val="00DF093E"/>
    <w:rsid w:val="00E01F42"/>
    <w:rsid w:val="00E12F4E"/>
    <w:rsid w:val="00E206D6"/>
    <w:rsid w:val="00E3366E"/>
    <w:rsid w:val="00E52086"/>
    <w:rsid w:val="00E543A6"/>
    <w:rsid w:val="00E57152"/>
    <w:rsid w:val="00E60479"/>
    <w:rsid w:val="00E6088D"/>
    <w:rsid w:val="00E61D73"/>
    <w:rsid w:val="00E62877"/>
    <w:rsid w:val="00E73684"/>
    <w:rsid w:val="00E80717"/>
    <w:rsid w:val="00E818D6"/>
    <w:rsid w:val="00E87F7A"/>
    <w:rsid w:val="00E96BD7"/>
    <w:rsid w:val="00EA0DB1"/>
    <w:rsid w:val="00EA0EE9"/>
    <w:rsid w:val="00ED4277"/>
    <w:rsid w:val="00ED52CA"/>
    <w:rsid w:val="00ED5860"/>
    <w:rsid w:val="00EE35C9"/>
    <w:rsid w:val="00F05ECA"/>
    <w:rsid w:val="00F216A7"/>
    <w:rsid w:val="00F3566E"/>
    <w:rsid w:val="00F375FB"/>
    <w:rsid w:val="00F41AC1"/>
    <w:rsid w:val="00F4367A"/>
    <w:rsid w:val="00F445B1"/>
    <w:rsid w:val="00F45CD4"/>
    <w:rsid w:val="00F6511E"/>
    <w:rsid w:val="00F66DCA"/>
    <w:rsid w:val="00F74F53"/>
    <w:rsid w:val="00F75796"/>
    <w:rsid w:val="00F7606D"/>
    <w:rsid w:val="00F81670"/>
    <w:rsid w:val="00F82024"/>
    <w:rsid w:val="00F95BC9"/>
    <w:rsid w:val="00FA624C"/>
    <w:rsid w:val="00FB4584"/>
    <w:rsid w:val="00FD0FAC"/>
    <w:rsid w:val="00FD1DFA"/>
    <w:rsid w:val="00FD4966"/>
    <w:rsid w:val="00FE53B7"/>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rsid w:val="00C12513"/>
    <w:pPr>
      <w:widowControl w:val="0"/>
      <w:overflowPunct w:val="0"/>
      <w:autoSpaceDE w:val="0"/>
      <w:autoSpaceDN w:val="0"/>
      <w:adjustRightInd w:val="0"/>
    </w:pPr>
    <w:rPr>
      <w:rFonts w:cs="Arial"/>
      <w:color w:val="auto"/>
      <w:kern w:val="28"/>
      <w:szCs w:val="20"/>
      <w:lang w:val="en-US" w:eastAsia="en-US"/>
    </w:rPr>
  </w:style>
  <w:style w:type="character" w:customStyle="1" w:styleId="BodyTextChar">
    <w:name w:val="Body Text Char"/>
    <w:basedOn w:val="DefaultParagraphFont"/>
    <w:link w:val="BodyText"/>
    <w:rsid w:val="00C12513"/>
    <w:rPr>
      <w:rFonts w:cs="Arial"/>
      <w:kern w:val="28"/>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rsid w:val="00C12513"/>
    <w:pPr>
      <w:widowControl w:val="0"/>
      <w:overflowPunct w:val="0"/>
      <w:autoSpaceDE w:val="0"/>
      <w:autoSpaceDN w:val="0"/>
      <w:adjustRightInd w:val="0"/>
    </w:pPr>
    <w:rPr>
      <w:rFonts w:cs="Arial"/>
      <w:color w:val="auto"/>
      <w:kern w:val="28"/>
      <w:szCs w:val="20"/>
      <w:lang w:val="en-US" w:eastAsia="en-US"/>
    </w:rPr>
  </w:style>
  <w:style w:type="character" w:customStyle="1" w:styleId="BodyTextChar">
    <w:name w:val="Body Text Char"/>
    <w:basedOn w:val="DefaultParagraphFont"/>
    <w:link w:val="BodyText"/>
    <w:rsid w:val="00C12513"/>
    <w:rPr>
      <w:rFonts w:cs="Arial"/>
      <w:kern w:val="28"/>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3AFA-0D74-4ED0-987F-F02D2640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2</TotalTime>
  <Pages>7</Pages>
  <Words>1936</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JMitchell</cp:lastModifiedBy>
  <cp:revision>3</cp:revision>
  <cp:lastPrinted>2015-07-03T13:50:00Z</cp:lastPrinted>
  <dcterms:created xsi:type="dcterms:W3CDTF">2018-09-10T16:11:00Z</dcterms:created>
  <dcterms:modified xsi:type="dcterms:W3CDTF">2018-09-11T08:51:00Z</dcterms:modified>
</cp:coreProperties>
</file>